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5671D">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960" w:firstLineChars="200"/>
        <w:jc w:val="both"/>
        <w:textAlignment w:val="baseline"/>
        <w:outlineLvl w:val="9"/>
        <w:rPr>
          <w:rFonts w:hint="eastAsia" w:ascii="方正小标宋_GBK" w:hAnsi="方正小标宋_GBK" w:eastAsia="方正小标宋_GBK" w:cs="方正小标宋_GBK"/>
          <w:spacing w:val="20"/>
          <w:sz w:val="44"/>
          <w:szCs w:val="44"/>
          <w:highlight w:val="none"/>
          <w:lang w:val="en-US" w:eastAsia="zh-CN"/>
        </w:rPr>
      </w:pPr>
    </w:p>
    <w:p w14:paraId="51E15964">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960" w:firstLineChars="200"/>
        <w:jc w:val="both"/>
        <w:textAlignment w:val="baseline"/>
        <w:outlineLvl w:val="9"/>
        <w:rPr>
          <w:rFonts w:hint="eastAsia" w:ascii="方正小标宋_GBK" w:hAnsi="方正小标宋_GBK" w:eastAsia="方正小标宋_GBK" w:cs="方正小标宋_GBK"/>
          <w:spacing w:val="20"/>
          <w:sz w:val="44"/>
          <w:szCs w:val="44"/>
          <w:highlight w:val="none"/>
          <w:lang w:val="en-US" w:eastAsia="zh-CN"/>
        </w:rPr>
      </w:pPr>
    </w:p>
    <w:p w14:paraId="4D7D07E3">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960" w:firstLineChars="200"/>
        <w:jc w:val="both"/>
        <w:textAlignment w:val="baseline"/>
        <w:outlineLvl w:val="9"/>
        <w:rPr>
          <w:rFonts w:hint="eastAsia" w:ascii="方正小标宋_GBK" w:hAnsi="方正小标宋_GBK" w:eastAsia="方正小标宋_GBK" w:cs="方正小标宋_GBK"/>
          <w:spacing w:val="20"/>
          <w:sz w:val="44"/>
          <w:szCs w:val="44"/>
          <w:highlight w:val="none"/>
          <w:lang w:val="en-US" w:eastAsia="zh-CN"/>
        </w:rPr>
      </w:pPr>
    </w:p>
    <w:p w14:paraId="424AC361">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960" w:firstLineChars="200"/>
        <w:jc w:val="both"/>
        <w:textAlignment w:val="baseline"/>
        <w:outlineLvl w:val="9"/>
        <w:rPr>
          <w:rFonts w:hint="eastAsia" w:ascii="方正小标宋_GBK" w:hAnsi="方正小标宋_GBK" w:eastAsia="方正小标宋_GBK" w:cs="方正小标宋_GBK"/>
          <w:spacing w:val="20"/>
          <w:sz w:val="44"/>
          <w:szCs w:val="44"/>
          <w:highlight w:val="none"/>
          <w:lang w:val="en-US" w:eastAsia="zh-CN"/>
        </w:rPr>
      </w:pPr>
    </w:p>
    <w:p w14:paraId="28E287FB">
      <w:pPr>
        <w:keepNext w:val="0"/>
        <w:keepLines w:val="0"/>
        <w:pageBreakBefore w:val="0"/>
        <w:widowControl/>
        <w:kinsoku w:val="0"/>
        <w:wordWrap/>
        <w:overflowPunct/>
        <w:topLinePunct w:val="0"/>
        <w:autoSpaceDE w:val="0"/>
        <w:autoSpaceDN w:val="0"/>
        <w:bidi w:val="0"/>
        <w:adjustRightInd w:val="0"/>
        <w:snapToGrid w:val="0"/>
        <w:spacing w:line="580" w:lineRule="exact"/>
        <w:ind w:left="992" w:right="0" w:hanging="992" w:hangingChars="200"/>
        <w:jc w:val="center"/>
        <w:textAlignment w:val="baseline"/>
        <w:outlineLvl w:val="9"/>
        <w:rPr>
          <w:rFonts w:hint="eastAsia" w:ascii="方正小标宋_GBK" w:hAnsi="方正小标宋_GBK" w:eastAsia="方正小标宋_GBK" w:cs="方正小标宋_GBK"/>
          <w:spacing w:val="28"/>
          <w:sz w:val="44"/>
          <w:szCs w:val="44"/>
          <w:highlight w:val="none"/>
        </w:rPr>
      </w:pPr>
      <w:r>
        <w:rPr>
          <w:rFonts w:hint="eastAsia" w:ascii="方正小标宋_GBK" w:hAnsi="方正小标宋_GBK" w:eastAsia="方正小标宋_GBK" w:cs="方正小标宋_GBK"/>
          <w:spacing w:val="28"/>
          <w:sz w:val="44"/>
          <w:szCs w:val="44"/>
          <w:highlight w:val="none"/>
          <w:lang w:val="en-US" w:eastAsia="zh-CN"/>
        </w:rPr>
        <w:t>双鸭山市宝山区</w:t>
      </w:r>
      <w:r>
        <w:rPr>
          <w:rFonts w:hint="eastAsia" w:ascii="方正小标宋_GBK" w:hAnsi="方正小标宋_GBK" w:eastAsia="方正小标宋_GBK" w:cs="方正小标宋_GBK"/>
          <w:spacing w:val="28"/>
          <w:sz w:val="44"/>
          <w:szCs w:val="44"/>
          <w:highlight w:val="none"/>
        </w:rPr>
        <w:t>国民经济和社</w:t>
      </w:r>
      <w:r>
        <w:rPr>
          <w:rFonts w:hint="eastAsia" w:ascii="方正小标宋_GBK" w:hAnsi="方正小标宋_GBK" w:eastAsia="方正小标宋_GBK" w:cs="方正小标宋_GBK"/>
          <w:spacing w:val="28"/>
          <w:sz w:val="44"/>
          <w:szCs w:val="44"/>
          <w:highlight w:val="none"/>
          <w:lang w:val="en-US" w:eastAsia="zh-CN"/>
        </w:rPr>
        <w:t>会</w:t>
      </w:r>
      <w:r>
        <w:rPr>
          <w:rFonts w:hint="eastAsia" w:ascii="方正小标宋_GBK" w:hAnsi="方正小标宋_GBK" w:eastAsia="方正小标宋_GBK" w:cs="方正小标宋_GBK"/>
          <w:spacing w:val="28"/>
          <w:sz w:val="44"/>
          <w:szCs w:val="44"/>
          <w:highlight w:val="none"/>
        </w:rPr>
        <w:t>发展第十五个五年规划纲要</w:t>
      </w:r>
    </w:p>
    <w:p w14:paraId="1CC154F2">
      <w:pPr>
        <w:keepNext w:val="0"/>
        <w:keepLines w:val="0"/>
        <w:pageBreakBefore w:val="0"/>
        <w:widowControl/>
        <w:kinsoku w:val="0"/>
        <w:wordWrap/>
        <w:overflowPunct/>
        <w:topLinePunct w:val="0"/>
        <w:autoSpaceDE w:val="0"/>
        <w:autoSpaceDN w:val="0"/>
        <w:bidi w:val="0"/>
        <w:adjustRightInd w:val="0"/>
        <w:snapToGrid w:val="0"/>
        <w:spacing w:line="580" w:lineRule="exact"/>
        <w:ind w:left="992" w:right="0" w:hanging="992" w:hangingChars="200"/>
        <w:jc w:val="center"/>
        <w:textAlignment w:val="baseline"/>
        <w:outlineLvl w:val="9"/>
        <w:rPr>
          <w:rFonts w:hint="default" w:ascii="方正小标宋_GBK" w:hAnsi="方正小标宋_GBK" w:eastAsia="方正小标宋_GBK" w:cs="方正小标宋_GBK"/>
          <w:spacing w:val="28"/>
          <w:sz w:val="44"/>
          <w:szCs w:val="44"/>
          <w:highlight w:val="none"/>
          <w:lang w:val="en-US" w:eastAsia="zh-CN"/>
        </w:rPr>
      </w:pPr>
      <w:r>
        <w:rPr>
          <w:rFonts w:hint="eastAsia" w:ascii="方正小标宋_GBK" w:hAnsi="方正小标宋_GBK" w:eastAsia="方正小标宋_GBK" w:cs="方正小标宋_GBK"/>
          <w:spacing w:val="28"/>
          <w:sz w:val="44"/>
          <w:szCs w:val="44"/>
          <w:highlight w:val="none"/>
          <w:lang w:val="en-US" w:eastAsia="zh-CN"/>
        </w:rPr>
        <w:t>（2026—2030年）</w:t>
      </w:r>
    </w:p>
    <w:p w14:paraId="2B4EC560">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01CB8B71">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1BEDE048">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4AA12F5F">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3A9AD941">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061D4752">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0AB9B9A0">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2767F707">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660189A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789104F1">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76B49C7D">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6EBF2225">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59043429">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60E033F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79419900">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896" w:firstLineChars="200"/>
        <w:jc w:val="both"/>
        <w:textAlignment w:val="baseline"/>
        <w:outlineLvl w:val="9"/>
        <w:rPr>
          <w:rFonts w:hint="eastAsia" w:ascii="微软雅黑" w:hAnsi="微软雅黑" w:eastAsia="微软雅黑" w:cs="微软雅黑"/>
          <w:spacing w:val="9"/>
          <w:sz w:val="43"/>
          <w:szCs w:val="43"/>
          <w:highlight w:val="none"/>
          <w:lang w:val="en-US" w:eastAsia="zh-CN"/>
        </w:rPr>
      </w:pPr>
    </w:p>
    <w:p w14:paraId="3FEC192A">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default" w:ascii="微软雅黑" w:hAnsi="微软雅黑" w:eastAsia="微软雅黑" w:cs="微软雅黑"/>
          <w:spacing w:val="9"/>
          <w:sz w:val="43"/>
          <w:szCs w:val="43"/>
          <w:highlight w:val="none"/>
          <w:lang w:val="en-US" w:eastAsia="zh-CN"/>
        </w:rPr>
      </w:pPr>
    </w:p>
    <w:p w14:paraId="041BC680">
      <w:pPr>
        <w:spacing w:before="178" w:line="227" w:lineRule="auto"/>
        <w:rPr>
          <w:rFonts w:ascii="黑体" w:hAnsi="黑体" w:eastAsia="黑体" w:cs="黑体"/>
          <w:sz w:val="31"/>
          <w:szCs w:val="31"/>
          <w:highlight w:val="none"/>
        </w:rPr>
      </w:pPr>
    </w:p>
    <w:p w14:paraId="7BB9710C">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bCs/>
          <w:snapToGrid w:val="0"/>
          <w:color w:val="000000"/>
          <w:kern w:val="0"/>
          <w:sz w:val="32"/>
          <w:szCs w:val="32"/>
          <w:highlight w:val="none"/>
          <w:lang w:val="en-US" w:eastAsia="en-US" w:bidi="ar-SA"/>
        </w:rPr>
        <w:sectPr>
          <w:footerReference r:id="rId3" w:type="default"/>
          <w:pgSz w:w="11904" w:h="16835"/>
          <w:pgMar w:top="1430" w:right="1785" w:bottom="1215" w:left="1785" w:header="0" w:footer="1049" w:gutter="0"/>
          <w:pgBorders>
            <w:top w:val="none" w:sz="0" w:space="0"/>
            <w:left w:val="none" w:sz="0" w:space="0"/>
            <w:bottom w:val="none" w:sz="0" w:space="0"/>
            <w:right w:val="none" w:sz="0" w:space="0"/>
          </w:pgBorders>
          <w:pgNumType w:fmt="numberInDash" w:start="1"/>
          <w:cols w:space="720" w:num="1"/>
        </w:sectPr>
      </w:pPr>
    </w:p>
    <w:sdt>
      <w:sdtPr>
        <w:rPr>
          <w:rFonts w:hint="eastAsia" w:ascii="仿宋_GB2312" w:hAnsi="仿宋_GB2312" w:eastAsia="仿宋_GB2312" w:cs="仿宋_GB2312"/>
          <w:b/>
          <w:bCs/>
          <w:snapToGrid w:val="0"/>
          <w:color w:val="000000"/>
          <w:kern w:val="0"/>
          <w:sz w:val="32"/>
          <w:szCs w:val="32"/>
          <w:highlight w:val="none"/>
          <w:lang w:val="en-US" w:eastAsia="en-US" w:bidi="ar-SA"/>
        </w:rPr>
        <w:id w:val="147482455"/>
        <w15:color w:val="DBDBDB"/>
        <w:docPartObj>
          <w:docPartGallery w:val="Table of Contents"/>
          <w:docPartUnique/>
        </w:docPartObj>
      </w:sdtPr>
      <w:sdtEndPr>
        <w:rPr>
          <w:rFonts w:hint="eastAsia" w:ascii="仿宋_GB2312" w:hAnsi="仿宋_GB2312" w:eastAsia="仿宋_GB2312" w:cs="仿宋_GB2312"/>
          <w:b/>
          <w:bCs w:val="0"/>
          <w:snapToGrid w:val="0"/>
          <w:color w:val="000000"/>
          <w:spacing w:val="7"/>
          <w:kern w:val="0"/>
          <w:sz w:val="32"/>
          <w:szCs w:val="32"/>
          <w:highlight w:val="none"/>
          <w:lang w:val="en-US" w:eastAsia="zh-CN" w:bidi="ar-SA"/>
        </w:rPr>
      </w:sdtEndPr>
      <w:sdtContent>
        <w:p w14:paraId="4B4BF9AA">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目</w:t>
          </w:r>
          <w:r>
            <w:rPr>
              <w:rFonts w:hint="eastAsia" w:ascii="仿宋_GB2312" w:hAnsi="仿宋_GB2312" w:eastAsia="仿宋_GB2312" w:cs="仿宋_GB2312"/>
              <w:b/>
              <w:bCs/>
              <w:sz w:val="44"/>
              <w:szCs w:val="44"/>
              <w:highlight w:val="none"/>
              <w:lang w:val="en-US" w:eastAsia="zh-CN"/>
            </w:rPr>
            <w:t xml:space="preserve">  </w:t>
          </w:r>
          <w:r>
            <w:rPr>
              <w:rFonts w:hint="eastAsia" w:ascii="仿宋_GB2312" w:hAnsi="仿宋_GB2312" w:eastAsia="仿宋_GB2312" w:cs="仿宋_GB2312"/>
              <w:b/>
              <w:bCs/>
              <w:sz w:val="44"/>
              <w:szCs w:val="44"/>
              <w:highlight w:val="none"/>
            </w:rPr>
            <w:t>录</w:t>
          </w:r>
        </w:p>
        <w:p w14:paraId="496489F0">
          <w:pPr>
            <w:pStyle w:val="9"/>
            <w:tabs>
              <w:tab w:val="right" w:leader="dot" w:pos="8334"/>
            </w:tabs>
            <w:rPr>
              <w:sz w:val="32"/>
              <w:szCs w:val="32"/>
              <w:highlight w:val="none"/>
            </w:rPr>
          </w:pPr>
          <w:r>
            <w:rPr>
              <w:rFonts w:hint="eastAsia" w:ascii="仿宋_GB2312" w:hAnsi="仿宋_GB2312" w:eastAsia="仿宋_GB2312" w:cs="仿宋_GB2312"/>
              <w:b w:val="0"/>
              <w:bCs w:val="0"/>
              <w:spacing w:val="7"/>
              <w:sz w:val="32"/>
              <w:szCs w:val="32"/>
              <w:highlight w:val="none"/>
              <w:lang w:val="en-US" w:eastAsia="zh-CN"/>
            </w:rPr>
            <w:fldChar w:fldCharType="begin"/>
          </w:r>
          <w:r>
            <w:rPr>
              <w:rFonts w:hint="eastAsia" w:ascii="仿宋_GB2312" w:hAnsi="仿宋_GB2312" w:eastAsia="仿宋_GB2312" w:cs="仿宋_GB2312"/>
              <w:b w:val="0"/>
              <w:bCs w:val="0"/>
              <w:spacing w:val="7"/>
              <w:sz w:val="32"/>
              <w:szCs w:val="32"/>
              <w:highlight w:val="none"/>
              <w:lang w:val="en-US" w:eastAsia="zh-CN"/>
            </w:rPr>
            <w:instrText xml:space="preserve">TOC \o "1-3" \h \u </w:instrText>
          </w:r>
          <w:r>
            <w:rPr>
              <w:rFonts w:hint="eastAsia" w:ascii="仿宋_GB2312" w:hAnsi="仿宋_GB2312" w:eastAsia="仿宋_GB2312" w:cs="仿宋_GB2312"/>
              <w:b w:val="0"/>
              <w:bCs w:val="0"/>
              <w:spacing w:val="7"/>
              <w:sz w:val="32"/>
              <w:szCs w:val="32"/>
              <w:highlight w:val="none"/>
              <w:lang w:val="en-US" w:eastAsia="zh-CN"/>
            </w:rPr>
            <w:fldChar w:fldCharType="separate"/>
          </w: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_Toc18727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第一章  贯彻新发展理念 高质量发展提质增效</w:t>
          </w:r>
          <w:r>
            <w:rPr>
              <w:sz w:val="32"/>
              <w:szCs w:val="32"/>
              <w:highlight w:val="none"/>
            </w:rPr>
            <w:tab/>
          </w:r>
          <w:r>
            <w:rPr>
              <w:sz w:val="32"/>
              <w:szCs w:val="32"/>
              <w:highlight w:val="none"/>
            </w:rPr>
            <w:fldChar w:fldCharType="begin"/>
          </w:r>
          <w:r>
            <w:rPr>
              <w:sz w:val="32"/>
              <w:szCs w:val="32"/>
              <w:highlight w:val="none"/>
            </w:rPr>
            <w:instrText xml:space="preserve"> PAGEREF _Toc18727 \h </w:instrText>
          </w:r>
          <w:r>
            <w:rPr>
              <w:sz w:val="32"/>
              <w:szCs w:val="32"/>
              <w:highlight w:val="none"/>
            </w:rPr>
            <w:fldChar w:fldCharType="separate"/>
          </w:r>
          <w:r>
            <w:rPr>
              <w:sz w:val="32"/>
              <w:szCs w:val="32"/>
              <w:highlight w:val="none"/>
            </w:rPr>
            <w:t>- 1 -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C4ECC9D">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_Toc20067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rPr>
            <w:t>第一节“十四五”时期</w:t>
          </w:r>
          <w:r>
            <w:rPr>
              <w:rFonts w:hint="eastAsia"/>
              <w:bCs/>
              <w:sz w:val="32"/>
              <w:szCs w:val="32"/>
              <w:highlight w:val="none"/>
              <w:lang w:val="en-US" w:eastAsia="zh-CN"/>
            </w:rPr>
            <w:t>取得</w:t>
          </w:r>
          <w:r>
            <w:rPr>
              <w:rFonts w:hint="eastAsia"/>
              <w:bCs/>
              <w:sz w:val="32"/>
              <w:szCs w:val="32"/>
              <w:highlight w:val="none"/>
            </w:rPr>
            <w:t>成就</w:t>
          </w:r>
          <w:r>
            <w:rPr>
              <w:sz w:val="32"/>
              <w:szCs w:val="32"/>
              <w:highlight w:val="none"/>
            </w:rPr>
            <w:tab/>
          </w:r>
          <w:r>
            <w:rPr>
              <w:sz w:val="32"/>
              <w:szCs w:val="32"/>
              <w:highlight w:val="none"/>
            </w:rPr>
            <w:fldChar w:fldCharType="begin"/>
          </w:r>
          <w:r>
            <w:rPr>
              <w:sz w:val="32"/>
              <w:szCs w:val="32"/>
              <w:highlight w:val="none"/>
            </w:rPr>
            <w:instrText xml:space="preserve"> PAGEREF _Toc20067 \h </w:instrText>
          </w:r>
          <w:r>
            <w:rPr>
              <w:sz w:val="32"/>
              <w:szCs w:val="32"/>
              <w:highlight w:val="none"/>
            </w:rPr>
            <w:fldChar w:fldCharType="separate"/>
          </w:r>
          <w:r>
            <w:rPr>
              <w:sz w:val="32"/>
              <w:szCs w:val="32"/>
              <w:highlight w:val="none"/>
            </w:rPr>
            <w:t>- 1 -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4C1C3427">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_Toc10283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发展现状和挑战</w:t>
          </w:r>
          <w:r>
            <w:rPr>
              <w:sz w:val="32"/>
              <w:szCs w:val="32"/>
              <w:highlight w:val="none"/>
            </w:rPr>
            <w:tab/>
          </w:r>
          <w:r>
            <w:rPr>
              <w:sz w:val="32"/>
              <w:szCs w:val="32"/>
              <w:highlight w:val="none"/>
            </w:rPr>
            <w:fldChar w:fldCharType="begin"/>
          </w:r>
          <w:r>
            <w:rPr>
              <w:sz w:val="32"/>
              <w:szCs w:val="32"/>
              <w:highlight w:val="none"/>
            </w:rPr>
            <w:instrText xml:space="preserve"> PAGEREF _Toc10283 \h </w:instrText>
          </w:r>
          <w:r>
            <w:rPr>
              <w:sz w:val="32"/>
              <w:szCs w:val="32"/>
              <w:highlight w:val="none"/>
            </w:rPr>
            <w:fldChar w:fldCharType="separate"/>
          </w:r>
          <w:r>
            <w:rPr>
              <w:sz w:val="32"/>
              <w:szCs w:val="32"/>
              <w:highlight w:val="none"/>
            </w:rPr>
            <w:t>- 10 -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8AEBCD8">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_Toc16718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第二章  明确“十五五”要求 高质量振兴谋篇布局</w:t>
          </w:r>
          <w:r>
            <w:rPr>
              <w:sz w:val="32"/>
              <w:szCs w:val="32"/>
              <w:highlight w:val="none"/>
            </w:rPr>
            <w:tab/>
          </w:r>
          <w:r>
            <w:rPr>
              <w:sz w:val="32"/>
              <w:szCs w:val="32"/>
              <w:highlight w:val="none"/>
            </w:rPr>
            <w:fldChar w:fldCharType="begin"/>
          </w:r>
          <w:r>
            <w:rPr>
              <w:sz w:val="32"/>
              <w:szCs w:val="32"/>
              <w:highlight w:val="none"/>
            </w:rPr>
            <w:instrText xml:space="preserve"> PAGEREF _Toc16718 \h </w:instrText>
          </w:r>
          <w:r>
            <w:rPr>
              <w:sz w:val="32"/>
              <w:szCs w:val="32"/>
              <w:highlight w:val="none"/>
            </w:rPr>
            <w:fldChar w:fldCharType="separate"/>
          </w:r>
          <w:r>
            <w:rPr>
              <w:sz w:val="32"/>
              <w:szCs w:val="32"/>
              <w:highlight w:val="none"/>
            </w:rPr>
            <w:t>- 13 -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43821C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_Toc6562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rPr>
            <w:t>第一节 指导思想</w:t>
          </w:r>
          <w:r>
            <w:rPr>
              <w:sz w:val="32"/>
              <w:szCs w:val="32"/>
              <w:highlight w:val="none"/>
            </w:rPr>
            <w:tab/>
          </w:r>
          <w:r>
            <w:rPr>
              <w:sz w:val="32"/>
              <w:szCs w:val="32"/>
              <w:highlight w:val="none"/>
            </w:rPr>
            <w:fldChar w:fldCharType="begin"/>
          </w:r>
          <w:r>
            <w:rPr>
              <w:sz w:val="32"/>
              <w:szCs w:val="32"/>
              <w:highlight w:val="none"/>
            </w:rPr>
            <w:instrText xml:space="preserve"> PAGEREF _Toc6562 \h </w:instrText>
          </w:r>
          <w:r>
            <w:rPr>
              <w:sz w:val="32"/>
              <w:szCs w:val="32"/>
              <w:highlight w:val="none"/>
            </w:rPr>
            <w:fldChar w:fldCharType="separate"/>
          </w:r>
          <w:r>
            <w:rPr>
              <w:sz w:val="32"/>
              <w:szCs w:val="32"/>
              <w:highlight w:val="none"/>
            </w:rPr>
            <w:t>- 13 -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D58C90C">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_Toc8162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 xml:space="preserve">第二节 </w:t>
          </w:r>
          <w:r>
            <w:rPr>
              <w:rFonts w:hint="eastAsia"/>
              <w:bCs/>
              <w:sz w:val="32"/>
              <w:szCs w:val="32"/>
              <w:highlight w:val="none"/>
            </w:rPr>
            <w:t>基本原则</w:t>
          </w:r>
          <w:r>
            <w:rPr>
              <w:sz w:val="32"/>
              <w:szCs w:val="32"/>
              <w:highlight w:val="none"/>
            </w:rPr>
            <w:tab/>
          </w:r>
          <w:r>
            <w:rPr>
              <w:sz w:val="32"/>
              <w:szCs w:val="32"/>
              <w:highlight w:val="none"/>
            </w:rPr>
            <w:fldChar w:fldCharType="begin"/>
          </w:r>
          <w:r>
            <w:rPr>
              <w:sz w:val="32"/>
              <w:szCs w:val="32"/>
              <w:highlight w:val="none"/>
            </w:rPr>
            <w:instrText xml:space="preserve"> PAGEREF _Toc8162 \h </w:instrText>
          </w:r>
          <w:r>
            <w:rPr>
              <w:sz w:val="32"/>
              <w:szCs w:val="32"/>
              <w:highlight w:val="none"/>
            </w:rPr>
            <w:fldChar w:fldCharType="separate"/>
          </w:r>
          <w:r>
            <w:rPr>
              <w:sz w:val="32"/>
              <w:szCs w:val="32"/>
              <w:highlight w:val="none"/>
            </w:rPr>
            <w:t>- 14 -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B521EA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_Toc12315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rPr>
            <w:t>第三节 发展目标</w:t>
          </w:r>
          <w:r>
            <w:rPr>
              <w:sz w:val="32"/>
              <w:szCs w:val="32"/>
              <w:highlight w:val="none"/>
            </w:rPr>
            <w:tab/>
          </w:r>
          <w:r>
            <w:rPr>
              <w:sz w:val="32"/>
              <w:szCs w:val="32"/>
              <w:highlight w:val="none"/>
            </w:rPr>
            <w:fldChar w:fldCharType="begin"/>
          </w:r>
          <w:r>
            <w:rPr>
              <w:sz w:val="32"/>
              <w:szCs w:val="32"/>
              <w:highlight w:val="none"/>
            </w:rPr>
            <w:instrText xml:space="preserve"> PAGEREF _Toc12315 \h </w:instrText>
          </w:r>
          <w:r>
            <w:rPr>
              <w:sz w:val="32"/>
              <w:szCs w:val="32"/>
              <w:highlight w:val="none"/>
            </w:rPr>
            <w:fldChar w:fldCharType="separate"/>
          </w:r>
          <w:r>
            <w:rPr>
              <w:sz w:val="32"/>
              <w:szCs w:val="32"/>
              <w:highlight w:val="none"/>
            </w:rPr>
            <w:t>- 16 -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7C00304B">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_Toc25713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第三章  构建现代产业体系 培育新质生产力赋能</w:t>
          </w:r>
          <w:r>
            <w:rPr>
              <w:sz w:val="32"/>
              <w:szCs w:val="32"/>
              <w:highlight w:val="none"/>
            </w:rPr>
            <w:tab/>
          </w:r>
          <w:r>
            <w:rPr>
              <w:sz w:val="32"/>
              <w:szCs w:val="32"/>
              <w:highlight w:val="none"/>
            </w:rPr>
            <w:fldChar w:fldCharType="begin"/>
          </w:r>
          <w:r>
            <w:rPr>
              <w:sz w:val="32"/>
              <w:szCs w:val="32"/>
              <w:highlight w:val="none"/>
            </w:rPr>
            <w:instrText xml:space="preserve"> PAGEREF _Toc25713 \h </w:instrText>
          </w:r>
          <w:r>
            <w:rPr>
              <w:sz w:val="32"/>
              <w:szCs w:val="32"/>
              <w:highlight w:val="none"/>
            </w:rPr>
            <w:fldChar w:fldCharType="separate"/>
          </w:r>
          <w:r>
            <w:rPr>
              <w:sz w:val="32"/>
              <w:szCs w:val="32"/>
              <w:highlight w:val="none"/>
            </w:rPr>
            <w:t>- 19 -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301E4A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_Toc28321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引领现代化产业体系建设</w:t>
          </w:r>
          <w:r>
            <w:rPr>
              <w:sz w:val="32"/>
              <w:szCs w:val="32"/>
              <w:highlight w:val="none"/>
            </w:rPr>
            <w:tab/>
          </w:r>
          <w:r>
            <w:rPr>
              <w:sz w:val="32"/>
              <w:szCs w:val="32"/>
              <w:highlight w:val="none"/>
            </w:rPr>
            <w:fldChar w:fldCharType="begin"/>
          </w:r>
          <w:r>
            <w:rPr>
              <w:sz w:val="32"/>
              <w:szCs w:val="32"/>
              <w:highlight w:val="none"/>
            </w:rPr>
            <w:instrText xml:space="preserve"> PAGEREF _Toc28321 \h </w:instrText>
          </w:r>
          <w:r>
            <w:rPr>
              <w:sz w:val="32"/>
              <w:szCs w:val="32"/>
              <w:highlight w:val="none"/>
            </w:rPr>
            <w:fldChar w:fldCharType="separate"/>
          </w:r>
          <w:r>
            <w:rPr>
              <w:sz w:val="32"/>
              <w:szCs w:val="32"/>
              <w:highlight w:val="none"/>
            </w:rPr>
            <w:t>- 19 -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E1E4F64">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_Toc6126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传统产业提质升级</w:t>
          </w:r>
          <w:r>
            <w:rPr>
              <w:sz w:val="32"/>
              <w:szCs w:val="32"/>
              <w:highlight w:val="none"/>
            </w:rPr>
            <w:tab/>
          </w:r>
          <w:r>
            <w:rPr>
              <w:sz w:val="32"/>
              <w:szCs w:val="32"/>
              <w:highlight w:val="none"/>
            </w:rPr>
            <w:fldChar w:fldCharType="begin"/>
          </w:r>
          <w:r>
            <w:rPr>
              <w:sz w:val="32"/>
              <w:szCs w:val="32"/>
              <w:highlight w:val="none"/>
            </w:rPr>
            <w:instrText xml:space="preserve"> PAGEREF _Toc6126 \h </w:instrText>
          </w:r>
          <w:r>
            <w:rPr>
              <w:sz w:val="32"/>
              <w:szCs w:val="32"/>
              <w:highlight w:val="none"/>
            </w:rPr>
            <w:fldChar w:fldCharType="separate"/>
          </w:r>
          <w:r>
            <w:rPr>
              <w:sz w:val="32"/>
              <w:szCs w:val="32"/>
              <w:highlight w:val="none"/>
            </w:rPr>
            <w:t>- 21 -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8560FCF">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_Toc19483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发展战略性新兴产业及谋划未来产业</w:t>
          </w:r>
          <w:r>
            <w:rPr>
              <w:sz w:val="32"/>
              <w:szCs w:val="32"/>
              <w:highlight w:val="none"/>
            </w:rPr>
            <w:tab/>
          </w:r>
          <w:r>
            <w:rPr>
              <w:sz w:val="32"/>
              <w:szCs w:val="32"/>
              <w:highlight w:val="none"/>
            </w:rPr>
            <w:fldChar w:fldCharType="begin"/>
          </w:r>
          <w:r>
            <w:rPr>
              <w:sz w:val="32"/>
              <w:szCs w:val="32"/>
              <w:highlight w:val="none"/>
            </w:rPr>
            <w:instrText xml:space="preserve"> PAGEREF _Toc19483 \h </w:instrText>
          </w:r>
          <w:r>
            <w:rPr>
              <w:sz w:val="32"/>
              <w:szCs w:val="32"/>
              <w:highlight w:val="none"/>
            </w:rPr>
            <w:fldChar w:fldCharType="separate"/>
          </w:r>
          <w:r>
            <w:rPr>
              <w:sz w:val="32"/>
              <w:szCs w:val="32"/>
              <w:highlight w:val="none"/>
            </w:rPr>
            <w:t>- 25 -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4AE1A59C">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_Toc18501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科技创新引领发展</w:t>
          </w:r>
          <w:r>
            <w:rPr>
              <w:sz w:val="32"/>
              <w:szCs w:val="32"/>
              <w:highlight w:val="none"/>
            </w:rPr>
            <w:tab/>
          </w:r>
          <w:r>
            <w:rPr>
              <w:sz w:val="32"/>
              <w:szCs w:val="32"/>
              <w:highlight w:val="none"/>
            </w:rPr>
            <w:fldChar w:fldCharType="begin"/>
          </w:r>
          <w:r>
            <w:rPr>
              <w:sz w:val="32"/>
              <w:szCs w:val="32"/>
              <w:highlight w:val="none"/>
            </w:rPr>
            <w:instrText xml:space="preserve"> PAGEREF _Toc18501 \h </w:instrText>
          </w:r>
          <w:r>
            <w:rPr>
              <w:sz w:val="32"/>
              <w:szCs w:val="32"/>
              <w:highlight w:val="none"/>
            </w:rPr>
            <w:fldChar w:fldCharType="separate"/>
          </w:r>
          <w:r>
            <w:rPr>
              <w:sz w:val="32"/>
              <w:szCs w:val="32"/>
              <w:highlight w:val="none"/>
            </w:rPr>
            <w:t>- 27 -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8085499">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_Toc20200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第四章  强化农业强区建设 赋能高质量发展提速</w:t>
          </w:r>
          <w:r>
            <w:rPr>
              <w:sz w:val="32"/>
              <w:szCs w:val="32"/>
              <w:highlight w:val="none"/>
            </w:rPr>
            <w:tab/>
          </w:r>
          <w:r>
            <w:rPr>
              <w:sz w:val="32"/>
              <w:szCs w:val="32"/>
              <w:highlight w:val="none"/>
            </w:rPr>
            <w:fldChar w:fldCharType="begin"/>
          </w:r>
          <w:r>
            <w:rPr>
              <w:sz w:val="32"/>
              <w:szCs w:val="32"/>
              <w:highlight w:val="none"/>
            </w:rPr>
            <w:instrText xml:space="preserve"> PAGEREF _Toc20200 \h </w:instrText>
          </w:r>
          <w:r>
            <w:rPr>
              <w:sz w:val="32"/>
              <w:szCs w:val="32"/>
              <w:highlight w:val="none"/>
            </w:rPr>
            <w:fldChar w:fldCharType="separate"/>
          </w:r>
          <w:r>
            <w:rPr>
              <w:sz w:val="32"/>
              <w:szCs w:val="32"/>
              <w:highlight w:val="none"/>
            </w:rPr>
            <w:t>- 29 -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77E58935">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_Toc14860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全方位夯实粮食安全根基</w:t>
          </w:r>
          <w:r>
            <w:rPr>
              <w:sz w:val="32"/>
              <w:szCs w:val="32"/>
              <w:highlight w:val="none"/>
            </w:rPr>
            <w:tab/>
          </w:r>
          <w:r>
            <w:rPr>
              <w:sz w:val="32"/>
              <w:szCs w:val="32"/>
              <w:highlight w:val="none"/>
            </w:rPr>
            <w:fldChar w:fldCharType="begin"/>
          </w:r>
          <w:r>
            <w:rPr>
              <w:sz w:val="32"/>
              <w:szCs w:val="32"/>
              <w:highlight w:val="none"/>
            </w:rPr>
            <w:instrText xml:space="preserve"> PAGEREF _Toc14860 \h </w:instrText>
          </w:r>
          <w:r>
            <w:rPr>
              <w:sz w:val="32"/>
              <w:szCs w:val="32"/>
              <w:highlight w:val="none"/>
            </w:rPr>
            <w:fldChar w:fldCharType="separate"/>
          </w:r>
          <w:r>
            <w:rPr>
              <w:sz w:val="32"/>
              <w:szCs w:val="32"/>
              <w:highlight w:val="none"/>
            </w:rPr>
            <w:t>- 29 -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A92B427">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_Toc27180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统筹推进“四个农业”发展</w:t>
          </w:r>
          <w:r>
            <w:rPr>
              <w:sz w:val="32"/>
              <w:szCs w:val="32"/>
              <w:highlight w:val="none"/>
            </w:rPr>
            <w:tab/>
          </w:r>
          <w:r>
            <w:rPr>
              <w:sz w:val="32"/>
              <w:szCs w:val="32"/>
              <w:highlight w:val="none"/>
            </w:rPr>
            <w:fldChar w:fldCharType="begin"/>
          </w:r>
          <w:r>
            <w:rPr>
              <w:sz w:val="32"/>
              <w:szCs w:val="32"/>
              <w:highlight w:val="none"/>
            </w:rPr>
            <w:instrText xml:space="preserve"> PAGEREF _Toc27180 \h </w:instrText>
          </w:r>
          <w:r>
            <w:rPr>
              <w:sz w:val="32"/>
              <w:szCs w:val="32"/>
              <w:highlight w:val="none"/>
            </w:rPr>
            <w:fldChar w:fldCharType="separate"/>
          </w:r>
          <w:r>
            <w:rPr>
              <w:sz w:val="32"/>
              <w:szCs w:val="32"/>
              <w:highlight w:val="none"/>
            </w:rPr>
            <w:t>- 30 -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79161653">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_Toc30999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提升食物供给保障能力</w:t>
          </w:r>
          <w:r>
            <w:rPr>
              <w:sz w:val="32"/>
              <w:szCs w:val="32"/>
              <w:highlight w:val="none"/>
            </w:rPr>
            <w:tab/>
          </w:r>
          <w:r>
            <w:rPr>
              <w:sz w:val="32"/>
              <w:szCs w:val="32"/>
              <w:highlight w:val="none"/>
            </w:rPr>
            <w:fldChar w:fldCharType="begin"/>
          </w:r>
          <w:r>
            <w:rPr>
              <w:sz w:val="32"/>
              <w:szCs w:val="32"/>
              <w:highlight w:val="none"/>
            </w:rPr>
            <w:instrText xml:space="preserve"> PAGEREF _Toc30999 \h </w:instrText>
          </w:r>
          <w:r>
            <w:rPr>
              <w:sz w:val="32"/>
              <w:szCs w:val="32"/>
              <w:highlight w:val="none"/>
            </w:rPr>
            <w:fldChar w:fldCharType="separate"/>
          </w:r>
          <w:r>
            <w:rPr>
              <w:sz w:val="32"/>
              <w:szCs w:val="32"/>
              <w:highlight w:val="none"/>
            </w:rPr>
            <w:t>- 33 -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3EC362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_Toc21154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扎实推进乡村全面振兴</w:t>
          </w:r>
          <w:r>
            <w:rPr>
              <w:sz w:val="32"/>
              <w:szCs w:val="32"/>
              <w:highlight w:val="none"/>
            </w:rPr>
            <w:tab/>
          </w:r>
          <w:r>
            <w:rPr>
              <w:sz w:val="32"/>
              <w:szCs w:val="32"/>
              <w:highlight w:val="none"/>
            </w:rPr>
            <w:fldChar w:fldCharType="begin"/>
          </w:r>
          <w:r>
            <w:rPr>
              <w:sz w:val="32"/>
              <w:szCs w:val="32"/>
              <w:highlight w:val="none"/>
            </w:rPr>
            <w:instrText xml:space="preserve"> PAGEREF _Toc21154 \h </w:instrText>
          </w:r>
          <w:r>
            <w:rPr>
              <w:sz w:val="32"/>
              <w:szCs w:val="32"/>
              <w:highlight w:val="none"/>
            </w:rPr>
            <w:fldChar w:fldCharType="separate"/>
          </w:r>
          <w:r>
            <w:rPr>
              <w:sz w:val="32"/>
              <w:szCs w:val="32"/>
              <w:highlight w:val="none"/>
            </w:rPr>
            <w:t>- 36 -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7BE25B6E">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_Toc18055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第五章  畅通经济循环体系 激发消费投资双重活力</w:t>
          </w:r>
          <w:r>
            <w:rPr>
              <w:sz w:val="32"/>
              <w:szCs w:val="32"/>
              <w:highlight w:val="none"/>
            </w:rPr>
            <w:tab/>
          </w:r>
          <w:r>
            <w:rPr>
              <w:sz w:val="32"/>
              <w:szCs w:val="32"/>
              <w:highlight w:val="none"/>
            </w:rPr>
            <w:fldChar w:fldCharType="begin"/>
          </w:r>
          <w:r>
            <w:rPr>
              <w:sz w:val="32"/>
              <w:szCs w:val="32"/>
              <w:highlight w:val="none"/>
            </w:rPr>
            <w:instrText xml:space="preserve"> PAGEREF _Toc18055 \h </w:instrText>
          </w:r>
          <w:r>
            <w:rPr>
              <w:sz w:val="32"/>
              <w:szCs w:val="32"/>
              <w:highlight w:val="none"/>
            </w:rPr>
            <w:fldChar w:fldCharType="separate"/>
          </w:r>
          <w:r>
            <w:rPr>
              <w:sz w:val="32"/>
              <w:szCs w:val="32"/>
              <w:highlight w:val="none"/>
            </w:rPr>
            <w:t>- 40 -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2F84555">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_Toc28409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释放消费潜力</w:t>
          </w:r>
          <w:r>
            <w:rPr>
              <w:sz w:val="32"/>
              <w:szCs w:val="32"/>
              <w:highlight w:val="none"/>
            </w:rPr>
            <w:tab/>
          </w:r>
          <w:r>
            <w:rPr>
              <w:sz w:val="32"/>
              <w:szCs w:val="32"/>
              <w:highlight w:val="none"/>
            </w:rPr>
            <w:fldChar w:fldCharType="begin"/>
          </w:r>
          <w:r>
            <w:rPr>
              <w:sz w:val="32"/>
              <w:szCs w:val="32"/>
              <w:highlight w:val="none"/>
            </w:rPr>
            <w:instrText xml:space="preserve"> PAGEREF _Toc28409 \h </w:instrText>
          </w:r>
          <w:r>
            <w:rPr>
              <w:sz w:val="32"/>
              <w:szCs w:val="32"/>
              <w:highlight w:val="none"/>
            </w:rPr>
            <w:fldChar w:fldCharType="separate"/>
          </w:r>
          <w:r>
            <w:rPr>
              <w:sz w:val="32"/>
              <w:szCs w:val="32"/>
              <w:highlight w:val="none"/>
            </w:rPr>
            <w:t>- 41 -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DBE7119">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_Toc6197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扩大有效投资</w:t>
          </w:r>
          <w:r>
            <w:rPr>
              <w:sz w:val="32"/>
              <w:szCs w:val="32"/>
              <w:highlight w:val="none"/>
            </w:rPr>
            <w:tab/>
          </w:r>
          <w:r>
            <w:rPr>
              <w:sz w:val="32"/>
              <w:szCs w:val="32"/>
              <w:highlight w:val="none"/>
            </w:rPr>
            <w:fldChar w:fldCharType="begin"/>
          </w:r>
          <w:r>
            <w:rPr>
              <w:sz w:val="32"/>
              <w:szCs w:val="32"/>
              <w:highlight w:val="none"/>
            </w:rPr>
            <w:instrText xml:space="preserve"> PAGEREF _Toc6197 \h </w:instrText>
          </w:r>
          <w:r>
            <w:rPr>
              <w:sz w:val="32"/>
              <w:szCs w:val="32"/>
              <w:highlight w:val="none"/>
            </w:rPr>
            <w:fldChar w:fldCharType="separate"/>
          </w:r>
          <w:r>
            <w:rPr>
              <w:sz w:val="32"/>
              <w:szCs w:val="32"/>
              <w:highlight w:val="none"/>
            </w:rPr>
            <w:t>- 44 -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DCC8597">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_Toc26617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畅通经济循环通道</w:t>
          </w:r>
          <w:r>
            <w:rPr>
              <w:sz w:val="32"/>
              <w:szCs w:val="32"/>
              <w:highlight w:val="none"/>
            </w:rPr>
            <w:tab/>
          </w:r>
          <w:r>
            <w:rPr>
              <w:sz w:val="32"/>
              <w:szCs w:val="32"/>
              <w:highlight w:val="none"/>
            </w:rPr>
            <w:fldChar w:fldCharType="begin"/>
          </w:r>
          <w:r>
            <w:rPr>
              <w:sz w:val="32"/>
              <w:szCs w:val="32"/>
              <w:highlight w:val="none"/>
            </w:rPr>
            <w:instrText xml:space="preserve"> PAGEREF _Toc26617 \h </w:instrText>
          </w:r>
          <w:r>
            <w:rPr>
              <w:sz w:val="32"/>
              <w:szCs w:val="32"/>
              <w:highlight w:val="none"/>
            </w:rPr>
            <w:fldChar w:fldCharType="separate"/>
          </w:r>
          <w:r>
            <w:rPr>
              <w:sz w:val="32"/>
              <w:szCs w:val="32"/>
              <w:highlight w:val="none"/>
            </w:rPr>
            <w:t>- 46 -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CD7B900">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_Toc15542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第六章  提升对外开放水平 拓展合作共赢发展空间</w:t>
          </w:r>
          <w:r>
            <w:rPr>
              <w:sz w:val="32"/>
              <w:szCs w:val="32"/>
              <w:highlight w:val="none"/>
            </w:rPr>
            <w:tab/>
          </w:r>
          <w:r>
            <w:rPr>
              <w:sz w:val="32"/>
              <w:szCs w:val="32"/>
              <w:highlight w:val="none"/>
            </w:rPr>
            <w:fldChar w:fldCharType="begin"/>
          </w:r>
          <w:r>
            <w:rPr>
              <w:sz w:val="32"/>
              <w:szCs w:val="32"/>
              <w:highlight w:val="none"/>
            </w:rPr>
            <w:instrText xml:space="preserve"> PAGEREF _Toc15542 \h </w:instrText>
          </w:r>
          <w:r>
            <w:rPr>
              <w:sz w:val="32"/>
              <w:szCs w:val="32"/>
              <w:highlight w:val="none"/>
            </w:rPr>
            <w:fldChar w:fldCharType="separate"/>
          </w:r>
          <w:r>
            <w:rPr>
              <w:sz w:val="32"/>
              <w:szCs w:val="32"/>
              <w:highlight w:val="none"/>
            </w:rPr>
            <w:t>- 47 -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161D32C">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_Toc16141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第七章  深化全面改革攻坚 注入高质量发展新动能</w:t>
          </w:r>
          <w:r>
            <w:rPr>
              <w:sz w:val="32"/>
              <w:szCs w:val="32"/>
              <w:highlight w:val="none"/>
            </w:rPr>
            <w:tab/>
          </w:r>
          <w:r>
            <w:rPr>
              <w:sz w:val="32"/>
              <w:szCs w:val="32"/>
              <w:highlight w:val="none"/>
            </w:rPr>
            <w:fldChar w:fldCharType="begin"/>
          </w:r>
          <w:r>
            <w:rPr>
              <w:sz w:val="32"/>
              <w:szCs w:val="32"/>
              <w:highlight w:val="none"/>
            </w:rPr>
            <w:instrText xml:space="preserve"> PAGEREF _Toc16141 \h </w:instrText>
          </w:r>
          <w:r>
            <w:rPr>
              <w:sz w:val="32"/>
              <w:szCs w:val="32"/>
              <w:highlight w:val="none"/>
            </w:rPr>
            <w:fldChar w:fldCharType="separate"/>
          </w:r>
          <w:r>
            <w:rPr>
              <w:sz w:val="32"/>
              <w:szCs w:val="32"/>
              <w:highlight w:val="none"/>
            </w:rPr>
            <w:t>- 49 -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81D193F">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_Toc4175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优化营商环境</w:t>
          </w:r>
          <w:r>
            <w:rPr>
              <w:sz w:val="32"/>
              <w:szCs w:val="32"/>
              <w:highlight w:val="none"/>
            </w:rPr>
            <w:tab/>
          </w:r>
          <w:r>
            <w:rPr>
              <w:sz w:val="32"/>
              <w:szCs w:val="32"/>
              <w:highlight w:val="none"/>
            </w:rPr>
            <w:fldChar w:fldCharType="begin"/>
          </w:r>
          <w:r>
            <w:rPr>
              <w:sz w:val="32"/>
              <w:szCs w:val="32"/>
              <w:highlight w:val="none"/>
            </w:rPr>
            <w:instrText xml:space="preserve"> PAGEREF _Toc4175 \h </w:instrText>
          </w:r>
          <w:r>
            <w:rPr>
              <w:sz w:val="32"/>
              <w:szCs w:val="32"/>
              <w:highlight w:val="none"/>
            </w:rPr>
            <w:fldChar w:fldCharType="separate"/>
          </w:r>
          <w:r>
            <w:rPr>
              <w:sz w:val="32"/>
              <w:szCs w:val="32"/>
              <w:highlight w:val="none"/>
            </w:rPr>
            <w:t>- 49 -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A295D77">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_Toc17893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激发民营经济活力</w:t>
          </w:r>
          <w:r>
            <w:rPr>
              <w:sz w:val="32"/>
              <w:szCs w:val="32"/>
              <w:highlight w:val="none"/>
            </w:rPr>
            <w:tab/>
          </w:r>
          <w:r>
            <w:rPr>
              <w:sz w:val="32"/>
              <w:szCs w:val="32"/>
              <w:highlight w:val="none"/>
            </w:rPr>
            <w:fldChar w:fldCharType="begin"/>
          </w:r>
          <w:r>
            <w:rPr>
              <w:sz w:val="32"/>
              <w:szCs w:val="32"/>
              <w:highlight w:val="none"/>
            </w:rPr>
            <w:instrText xml:space="preserve"> PAGEREF _Toc17893 \h </w:instrText>
          </w:r>
          <w:r>
            <w:rPr>
              <w:sz w:val="32"/>
              <w:szCs w:val="32"/>
              <w:highlight w:val="none"/>
            </w:rPr>
            <w:fldChar w:fldCharType="separate"/>
          </w:r>
          <w:r>
            <w:rPr>
              <w:sz w:val="32"/>
              <w:szCs w:val="32"/>
              <w:highlight w:val="none"/>
            </w:rPr>
            <w:t>- 51 -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9E0195C">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_Toc21121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深化重点领域改革</w:t>
          </w:r>
          <w:r>
            <w:rPr>
              <w:sz w:val="32"/>
              <w:szCs w:val="32"/>
              <w:highlight w:val="none"/>
            </w:rPr>
            <w:tab/>
          </w:r>
          <w:r>
            <w:rPr>
              <w:sz w:val="32"/>
              <w:szCs w:val="32"/>
              <w:highlight w:val="none"/>
            </w:rPr>
            <w:fldChar w:fldCharType="begin"/>
          </w:r>
          <w:r>
            <w:rPr>
              <w:sz w:val="32"/>
              <w:szCs w:val="32"/>
              <w:highlight w:val="none"/>
            </w:rPr>
            <w:instrText xml:space="preserve"> PAGEREF _Toc21121 \h </w:instrText>
          </w:r>
          <w:r>
            <w:rPr>
              <w:sz w:val="32"/>
              <w:szCs w:val="32"/>
              <w:highlight w:val="none"/>
            </w:rPr>
            <w:fldChar w:fldCharType="separate"/>
          </w:r>
          <w:r>
            <w:rPr>
              <w:sz w:val="32"/>
              <w:szCs w:val="32"/>
              <w:highlight w:val="none"/>
            </w:rPr>
            <w:t>- 52 -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A03A264">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_Toc26692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第八章  促进域内协同联动 推动区域发展融合共进</w:t>
          </w:r>
          <w:r>
            <w:rPr>
              <w:sz w:val="32"/>
              <w:szCs w:val="32"/>
              <w:highlight w:val="none"/>
            </w:rPr>
            <w:tab/>
          </w:r>
          <w:r>
            <w:rPr>
              <w:sz w:val="32"/>
              <w:szCs w:val="32"/>
              <w:highlight w:val="none"/>
            </w:rPr>
            <w:fldChar w:fldCharType="begin"/>
          </w:r>
          <w:r>
            <w:rPr>
              <w:sz w:val="32"/>
              <w:szCs w:val="32"/>
              <w:highlight w:val="none"/>
            </w:rPr>
            <w:instrText xml:space="preserve"> PAGEREF _Toc26692 \h </w:instrText>
          </w:r>
          <w:r>
            <w:rPr>
              <w:sz w:val="32"/>
              <w:szCs w:val="32"/>
              <w:highlight w:val="none"/>
            </w:rPr>
            <w:fldChar w:fldCharType="separate"/>
          </w:r>
          <w:r>
            <w:rPr>
              <w:sz w:val="32"/>
              <w:szCs w:val="32"/>
              <w:highlight w:val="none"/>
            </w:rPr>
            <w:t>- 53 -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05D9459">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_Toc26915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进一步促进区域经济发展</w:t>
          </w:r>
          <w:r>
            <w:rPr>
              <w:sz w:val="32"/>
              <w:szCs w:val="32"/>
              <w:highlight w:val="none"/>
            </w:rPr>
            <w:tab/>
          </w:r>
          <w:r>
            <w:rPr>
              <w:sz w:val="32"/>
              <w:szCs w:val="32"/>
              <w:highlight w:val="none"/>
            </w:rPr>
            <w:fldChar w:fldCharType="begin"/>
          </w:r>
          <w:r>
            <w:rPr>
              <w:sz w:val="32"/>
              <w:szCs w:val="32"/>
              <w:highlight w:val="none"/>
            </w:rPr>
            <w:instrText xml:space="preserve"> PAGEREF _Toc26915 \h </w:instrText>
          </w:r>
          <w:r>
            <w:rPr>
              <w:sz w:val="32"/>
              <w:szCs w:val="32"/>
              <w:highlight w:val="none"/>
            </w:rPr>
            <w:fldChar w:fldCharType="separate"/>
          </w:r>
          <w:r>
            <w:rPr>
              <w:sz w:val="32"/>
              <w:szCs w:val="32"/>
              <w:highlight w:val="none"/>
            </w:rPr>
            <w:t>- 54 -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EF5C176">
          <w:pPr>
            <w:pStyle w:val="10"/>
            <w:tabs>
              <w:tab w:val="right" w:leader="dot" w:pos="8334"/>
            </w:tabs>
            <w:rPr>
              <w:rFonts w:hint="eastAsia" w:ascii="仿宋_GB2312" w:hAnsi="仿宋_GB2312" w:eastAsia="仿宋_GB2312" w:cs="仿宋_GB2312"/>
              <w:bCs w:val="0"/>
              <w:spacing w:val="7"/>
              <w:sz w:val="32"/>
              <w:szCs w:val="32"/>
              <w:highlight w:val="none"/>
              <w:lang w:val="en-US" w:eastAsia="zh-CN"/>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_Toc321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进一步推进新型城镇化进程</w:t>
          </w:r>
          <w:r>
            <w:rPr>
              <w:sz w:val="32"/>
              <w:szCs w:val="32"/>
              <w:highlight w:val="none"/>
            </w:rPr>
            <w:tab/>
          </w:r>
          <w:r>
            <w:rPr>
              <w:sz w:val="32"/>
              <w:szCs w:val="32"/>
              <w:highlight w:val="none"/>
            </w:rPr>
            <w:fldChar w:fldCharType="begin"/>
          </w:r>
          <w:r>
            <w:rPr>
              <w:sz w:val="32"/>
              <w:szCs w:val="32"/>
              <w:highlight w:val="none"/>
            </w:rPr>
            <w:instrText xml:space="preserve"> PAGEREF _Toc321 \h </w:instrText>
          </w:r>
          <w:r>
            <w:rPr>
              <w:sz w:val="32"/>
              <w:szCs w:val="32"/>
              <w:highlight w:val="none"/>
            </w:rPr>
            <w:fldChar w:fldCharType="separate"/>
          </w:r>
          <w:r>
            <w:rPr>
              <w:sz w:val="32"/>
              <w:szCs w:val="32"/>
              <w:highlight w:val="none"/>
            </w:rPr>
            <w:t>- 56 -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1A9014B">
          <w:pPr>
            <w:rPr>
              <w:highlight w:val="none"/>
            </w:rPr>
          </w:pPr>
        </w:p>
        <w:p w14:paraId="57E7380C">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_Toc1314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第九章  加强生态环境治理 筑牢北方生态安全屏障</w:t>
          </w:r>
          <w:r>
            <w:rPr>
              <w:sz w:val="32"/>
              <w:szCs w:val="32"/>
              <w:highlight w:val="none"/>
            </w:rPr>
            <w:tab/>
          </w:r>
          <w:r>
            <w:rPr>
              <w:sz w:val="32"/>
              <w:szCs w:val="32"/>
              <w:highlight w:val="none"/>
            </w:rPr>
            <w:fldChar w:fldCharType="begin"/>
          </w:r>
          <w:r>
            <w:rPr>
              <w:sz w:val="32"/>
              <w:szCs w:val="32"/>
              <w:highlight w:val="none"/>
            </w:rPr>
            <w:instrText xml:space="preserve"> PAGEREF _Toc1314 \h </w:instrText>
          </w:r>
          <w:r>
            <w:rPr>
              <w:sz w:val="32"/>
              <w:szCs w:val="32"/>
              <w:highlight w:val="none"/>
            </w:rPr>
            <w:fldChar w:fldCharType="separate"/>
          </w:r>
          <w:r>
            <w:rPr>
              <w:sz w:val="32"/>
              <w:szCs w:val="32"/>
              <w:highlight w:val="none"/>
            </w:rPr>
            <w:t>- 57 -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907FD90">
          <w:pPr>
            <w:pStyle w:val="10"/>
            <w:tabs>
              <w:tab w:val="right" w:leader="dot" w:pos="8334"/>
            </w:tabs>
            <w:rPr>
              <w:rFonts w:hint="eastAsia" w:ascii="仿宋_GB2312" w:hAnsi="仿宋_GB2312" w:eastAsia="仿宋_GB2312" w:cs="仿宋_GB2312"/>
              <w:bCs w:val="0"/>
              <w:spacing w:val="7"/>
              <w:sz w:val="32"/>
              <w:szCs w:val="32"/>
              <w:highlight w:val="none"/>
              <w:lang w:val="en-US" w:eastAsia="zh-CN"/>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_Toc32639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持续巩固生态治理成效</w:t>
          </w:r>
          <w:r>
            <w:rPr>
              <w:sz w:val="32"/>
              <w:szCs w:val="32"/>
              <w:highlight w:val="none"/>
            </w:rPr>
            <w:tab/>
          </w:r>
          <w:r>
            <w:rPr>
              <w:sz w:val="32"/>
              <w:szCs w:val="32"/>
              <w:highlight w:val="none"/>
            </w:rPr>
            <w:fldChar w:fldCharType="begin"/>
          </w:r>
          <w:r>
            <w:rPr>
              <w:sz w:val="32"/>
              <w:szCs w:val="32"/>
              <w:highlight w:val="none"/>
            </w:rPr>
            <w:instrText xml:space="preserve"> PAGEREF _Toc32639 \h </w:instrText>
          </w:r>
          <w:r>
            <w:rPr>
              <w:sz w:val="32"/>
              <w:szCs w:val="32"/>
              <w:highlight w:val="none"/>
            </w:rPr>
            <w:fldChar w:fldCharType="separate"/>
          </w:r>
          <w:r>
            <w:rPr>
              <w:sz w:val="32"/>
              <w:szCs w:val="32"/>
              <w:highlight w:val="none"/>
            </w:rPr>
            <w:t>- 58 -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8BD3C4A">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_Toc32346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系统修复生态空间</w:t>
          </w:r>
          <w:r>
            <w:rPr>
              <w:sz w:val="32"/>
              <w:szCs w:val="32"/>
              <w:highlight w:val="none"/>
            </w:rPr>
            <w:tab/>
          </w:r>
          <w:r>
            <w:rPr>
              <w:sz w:val="32"/>
              <w:szCs w:val="32"/>
              <w:highlight w:val="none"/>
            </w:rPr>
            <w:fldChar w:fldCharType="begin"/>
          </w:r>
          <w:r>
            <w:rPr>
              <w:sz w:val="32"/>
              <w:szCs w:val="32"/>
              <w:highlight w:val="none"/>
            </w:rPr>
            <w:instrText xml:space="preserve"> PAGEREF _Toc32346 \h </w:instrText>
          </w:r>
          <w:r>
            <w:rPr>
              <w:sz w:val="32"/>
              <w:szCs w:val="32"/>
              <w:highlight w:val="none"/>
            </w:rPr>
            <w:fldChar w:fldCharType="separate"/>
          </w:r>
          <w:r>
            <w:rPr>
              <w:sz w:val="32"/>
              <w:szCs w:val="32"/>
              <w:highlight w:val="none"/>
            </w:rPr>
            <w:t>- 59 -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8B37D1E">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_Toc30756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推动绿色低碳发展</w:t>
          </w:r>
          <w:r>
            <w:rPr>
              <w:sz w:val="32"/>
              <w:szCs w:val="32"/>
              <w:highlight w:val="none"/>
            </w:rPr>
            <w:tab/>
          </w:r>
          <w:r>
            <w:rPr>
              <w:sz w:val="32"/>
              <w:szCs w:val="32"/>
              <w:highlight w:val="none"/>
            </w:rPr>
            <w:fldChar w:fldCharType="begin"/>
          </w:r>
          <w:r>
            <w:rPr>
              <w:sz w:val="32"/>
              <w:szCs w:val="32"/>
              <w:highlight w:val="none"/>
            </w:rPr>
            <w:instrText xml:space="preserve"> PAGEREF _Toc30756 \h </w:instrText>
          </w:r>
          <w:r>
            <w:rPr>
              <w:sz w:val="32"/>
              <w:szCs w:val="32"/>
              <w:highlight w:val="none"/>
            </w:rPr>
            <w:fldChar w:fldCharType="separate"/>
          </w:r>
          <w:r>
            <w:rPr>
              <w:sz w:val="32"/>
              <w:szCs w:val="32"/>
              <w:highlight w:val="none"/>
            </w:rPr>
            <w:t>- 59 -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F9C520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_Toc10025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加强生态文明建设</w:t>
          </w:r>
          <w:r>
            <w:rPr>
              <w:sz w:val="32"/>
              <w:szCs w:val="32"/>
              <w:highlight w:val="none"/>
            </w:rPr>
            <w:tab/>
          </w:r>
          <w:r>
            <w:rPr>
              <w:sz w:val="32"/>
              <w:szCs w:val="32"/>
              <w:highlight w:val="none"/>
            </w:rPr>
            <w:fldChar w:fldCharType="begin"/>
          </w:r>
          <w:r>
            <w:rPr>
              <w:sz w:val="32"/>
              <w:szCs w:val="32"/>
              <w:highlight w:val="none"/>
            </w:rPr>
            <w:instrText xml:space="preserve"> PAGEREF _Toc10025 \h </w:instrText>
          </w:r>
          <w:r>
            <w:rPr>
              <w:sz w:val="32"/>
              <w:szCs w:val="32"/>
              <w:highlight w:val="none"/>
            </w:rPr>
            <w:fldChar w:fldCharType="separate"/>
          </w:r>
          <w:r>
            <w:rPr>
              <w:sz w:val="32"/>
              <w:szCs w:val="32"/>
              <w:highlight w:val="none"/>
            </w:rPr>
            <w:t>- 61 -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8514B6D">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_Toc1692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第十章  构建现代基建体系 夯实高质量发展支撑</w:t>
          </w:r>
          <w:r>
            <w:rPr>
              <w:sz w:val="32"/>
              <w:szCs w:val="32"/>
              <w:highlight w:val="none"/>
            </w:rPr>
            <w:tab/>
          </w:r>
          <w:r>
            <w:rPr>
              <w:sz w:val="32"/>
              <w:szCs w:val="32"/>
              <w:highlight w:val="none"/>
            </w:rPr>
            <w:fldChar w:fldCharType="begin"/>
          </w:r>
          <w:r>
            <w:rPr>
              <w:sz w:val="32"/>
              <w:szCs w:val="32"/>
              <w:highlight w:val="none"/>
            </w:rPr>
            <w:instrText xml:space="preserve"> PAGEREF _Toc1692 \h </w:instrText>
          </w:r>
          <w:r>
            <w:rPr>
              <w:sz w:val="32"/>
              <w:szCs w:val="32"/>
              <w:highlight w:val="none"/>
            </w:rPr>
            <w:fldChar w:fldCharType="separate"/>
          </w:r>
          <w:r>
            <w:rPr>
              <w:sz w:val="32"/>
              <w:szCs w:val="32"/>
              <w:highlight w:val="none"/>
            </w:rPr>
            <w:t>- 63 -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4A468D5">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_Toc7596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推进基础设施建设</w:t>
          </w:r>
          <w:r>
            <w:rPr>
              <w:sz w:val="32"/>
              <w:szCs w:val="32"/>
              <w:highlight w:val="none"/>
            </w:rPr>
            <w:tab/>
          </w:r>
          <w:r>
            <w:rPr>
              <w:sz w:val="32"/>
              <w:szCs w:val="32"/>
              <w:highlight w:val="none"/>
            </w:rPr>
            <w:fldChar w:fldCharType="begin"/>
          </w:r>
          <w:r>
            <w:rPr>
              <w:sz w:val="32"/>
              <w:szCs w:val="32"/>
              <w:highlight w:val="none"/>
            </w:rPr>
            <w:instrText xml:space="preserve"> PAGEREF _Toc7596 \h </w:instrText>
          </w:r>
          <w:r>
            <w:rPr>
              <w:sz w:val="32"/>
              <w:szCs w:val="32"/>
              <w:highlight w:val="none"/>
            </w:rPr>
            <w:fldChar w:fldCharType="separate"/>
          </w:r>
          <w:r>
            <w:rPr>
              <w:sz w:val="32"/>
              <w:szCs w:val="32"/>
              <w:highlight w:val="none"/>
            </w:rPr>
            <w:t>- 63 -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E59E71F">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_Toc1902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完善交通运输设施</w:t>
          </w:r>
          <w:r>
            <w:rPr>
              <w:sz w:val="32"/>
              <w:szCs w:val="32"/>
              <w:highlight w:val="none"/>
            </w:rPr>
            <w:tab/>
          </w:r>
          <w:r>
            <w:rPr>
              <w:sz w:val="32"/>
              <w:szCs w:val="32"/>
              <w:highlight w:val="none"/>
            </w:rPr>
            <w:fldChar w:fldCharType="begin"/>
          </w:r>
          <w:r>
            <w:rPr>
              <w:sz w:val="32"/>
              <w:szCs w:val="32"/>
              <w:highlight w:val="none"/>
            </w:rPr>
            <w:instrText xml:space="preserve"> PAGEREF _Toc1902 \h </w:instrText>
          </w:r>
          <w:r>
            <w:rPr>
              <w:sz w:val="32"/>
              <w:szCs w:val="32"/>
              <w:highlight w:val="none"/>
            </w:rPr>
            <w:fldChar w:fldCharType="separate"/>
          </w:r>
          <w:r>
            <w:rPr>
              <w:sz w:val="32"/>
              <w:szCs w:val="32"/>
              <w:highlight w:val="none"/>
            </w:rPr>
            <w:t>- 65 -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C988AEC">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_Toc4035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完善水利基础设施建设</w:t>
          </w:r>
          <w:r>
            <w:rPr>
              <w:sz w:val="32"/>
              <w:szCs w:val="32"/>
              <w:highlight w:val="none"/>
            </w:rPr>
            <w:tab/>
          </w:r>
          <w:r>
            <w:rPr>
              <w:sz w:val="32"/>
              <w:szCs w:val="32"/>
              <w:highlight w:val="none"/>
            </w:rPr>
            <w:fldChar w:fldCharType="begin"/>
          </w:r>
          <w:r>
            <w:rPr>
              <w:sz w:val="32"/>
              <w:szCs w:val="32"/>
              <w:highlight w:val="none"/>
            </w:rPr>
            <w:instrText xml:space="preserve"> PAGEREF _Toc4035 \h </w:instrText>
          </w:r>
          <w:r>
            <w:rPr>
              <w:sz w:val="32"/>
              <w:szCs w:val="32"/>
              <w:highlight w:val="none"/>
            </w:rPr>
            <w:fldChar w:fldCharType="separate"/>
          </w:r>
          <w:r>
            <w:rPr>
              <w:sz w:val="32"/>
              <w:szCs w:val="32"/>
              <w:highlight w:val="none"/>
            </w:rPr>
            <w:t>- 66 -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7ECCF62">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_Toc28326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推动能源基础设施建设</w:t>
          </w:r>
          <w:r>
            <w:rPr>
              <w:sz w:val="32"/>
              <w:szCs w:val="32"/>
              <w:highlight w:val="none"/>
            </w:rPr>
            <w:tab/>
          </w:r>
          <w:r>
            <w:rPr>
              <w:sz w:val="32"/>
              <w:szCs w:val="32"/>
              <w:highlight w:val="none"/>
            </w:rPr>
            <w:fldChar w:fldCharType="begin"/>
          </w:r>
          <w:r>
            <w:rPr>
              <w:sz w:val="32"/>
              <w:szCs w:val="32"/>
              <w:highlight w:val="none"/>
            </w:rPr>
            <w:instrText xml:space="preserve"> PAGEREF _Toc28326 \h </w:instrText>
          </w:r>
          <w:r>
            <w:rPr>
              <w:sz w:val="32"/>
              <w:szCs w:val="32"/>
              <w:highlight w:val="none"/>
            </w:rPr>
            <w:fldChar w:fldCharType="separate"/>
          </w:r>
          <w:r>
            <w:rPr>
              <w:sz w:val="32"/>
              <w:szCs w:val="32"/>
              <w:highlight w:val="none"/>
            </w:rPr>
            <w:t>- 67 -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A90245E">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_Toc20555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第十一章  应对人口结构变化 推进人口高质量发展</w:t>
          </w:r>
          <w:r>
            <w:rPr>
              <w:sz w:val="32"/>
              <w:szCs w:val="32"/>
              <w:highlight w:val="none"/>
            </w:rPr>
            <w:tab/>
          </w:r>
          <w:r>
            <w:rPr>
              <w:sz w:val="32"/>
              <w:szCs w:val="32"/>
              <w:highlight w:val="none"/>
            </w:rPr>
            <w:fldChar w:fldCharType="begin"/>
          </w:r>
          <w:r>
            <w:rPr>
              <w:sz w:val="32"/>
              <w:szCs w:val="32"/>
              <w:highlight w:val="none"/>
            </w:rPr>
            <w:instrText xml:space="preserve"> PAGEREF _Toc20555 \h </w:instrText>
          </w:r>
          <w:r>
            <w:rPr>
              <w:sz w:val="32"/>
              <w:szCs w:val="32"/>
              <w:highlight w:val="none"/>
            </w:rPr>
            <w:fldChar w:fldCharType="separate"/>
          </w:r>
          <w:r>
            <w:rPr>
              <w:sz w:val="32"/>
              <w:szCs w:val="32"/>
              <w:highlight w:val="none"/>
            </w:rPr>
            <w:t>- 67 -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DF7F0AF">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_Toc16033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优化生育支持政策</w:t>
          </w:r>
          <w:r>
            <w:rPr>
              <w:sz w:val="32"/>
              <w:szCs w:val="32"/>
              <w:highlight w:val="none"/>
            </w:rPr>
            <w:tab/>
          </w:r>
          <w:r>
            <w:rPr>
              <w:sz w:val="32"/>
              <w:szCs w:val="32"/>
              <w:highlight w:val="none"/>
            </w:rPr>
            <w:fldChar w:fldCharType="begin"/>
          </w:r>
          <w:r>
            <w:rPr>
              <w:sz w:val="32"/>
              <w:szCs w:val="32"/>
              <w:highlight w:val="none"/>
            </w:rPr>
            <w:instrText xml:space="preserve"> PAGEREF _Toc16033 \h </w:instrText>
          </w:r>
          <w:r>
            <w:rPr>
              <w:sz w:val="32"/>
              <w:szCs w:val="32"/>
              <w:highlight w:val="none"/>
            </w:rPr>
            <w:fldChar w:fldCharType="separate"/>
          </w:r>
          <w:r>
            <w:rPr>
              <w:sz w:val="32"/>
              <w:szCs w:val="32"/>
              <w:highlight w:val="none"/>
            </w:rPr>
            <w:t>- 68 -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FF40091">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_Toc20283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积极应对人口老龄化</w:t>
          </w:r>
          <w:r>
            <w:rPr>
              <w:sz w:val="32"/>
              <w:szCs w:val="32"/>
              <w:highlight w:val="none"/>
            </w:rPr>
            <w:tab/>
          </w:r>
          <w:r>
            <w:rPr>
              <w:sz w:val="32"/>
              <w:szCs w:val="32"/>
              <w:highlight w:val="none"/>
            </w:rPr>
            <w:fldChar w:fldCharType="begin"/>
          </w:r>
          <w:r>
            <w:rPr>
              <w:sz w:val="32"/>
              <w:szCs w:val="32"/>
              <w:highlight w:val="none"/>
            </w:rPr>
            <w:instrText xml:space="preserve"> PAGEREF _Toc20283 \h </w:instrText>
          </w:r>
          <w:r>
            <w:rPr>
              <w:sz w:val="32"/>
              <w:szCs w:val="32"/>
              <w:highlight w:val="none"/>
            </w:rPr>
            <w:fldChar w:fldCharType="separate"/>
          </w:r>
          <w:r>
            <w:rPr>
              <w:sz w:val="32"/>
              <w:szCs w:val="32"/>
              <w:highlight w:val="none"/>
            </w:rPr>
            <w:t>- 69 -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EEF89A6">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_Toc2632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加快实现人才振兴</w:t>
          </w:r>
          <w:r>
            <w:rPr>
              <w:sz w:val="32"/>
              <w:szCs w:val="32"/>
              <w:highlight w:val="none"/>
            </w:rPr>
            <w:tab/>
          </w:r>
          <w:r>
            <w:rPr>
              <w:sz w:val="32"/>
              <w:szCs w:val="32"/>
              <w:highlight w:val="none"/>
            </w:rPr>
            <w:fldChar w:fldCharType="begin"/>
          </w:r>
          <w:r>
            <w:rPr>
              <w:sz w:val="32"/>
              <w:szCs w:val="32"/>
              <w:highlight w:val="none"/>
            </w:rPr>
            <w:instrText xml:space="preserve"> PAGEREF _Toc2632 \h </w:instrText>
          </w:r>
          <w:r>
            <w:rPr>
              <w:sz w:val="32"/>
              <w:szCs w:val="32"/>
              <w:highlight w:val="none"/>
            </w:rPr>
            <w:fldChar w:fldCharType="separate"/>
          </w:r>
          <w:r>
            <w:rPr>
              <w:sz w:val="32"/>
              <w:szCs w:val="32"/>
              <w:highlight w:val="none"/>
            </w:rPr>
            <w:t>- 71 -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ECC6924">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_Toc21375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第十二章  推进社会事业发展 持续增进民生福祉实效</w:t>
          </w:r>
          <w:r>
            <w:rPr>
              <w:sz w:val="32"/>
              <w:szCs w:val="32"/>
              <w:highlight w:val="none"/>
            </w:rPr>
            <w:tab/>
          </w:r>
          <w:r>
            <w:rPr>
              <w:sz w:val="32"/>
              <w:szCs w:val="32"/>
              <w:highlight w:val="none"/>
            </w:rPr>
            <w:fldChar w:fldCharType="begin"/>
          </w:r>
          <w:r>
            <w:rPr>
              <w:sz w:val="32"/>
              <w:szCs w:val="32"/>
              <w:highlight w:val="none"/>
            </w:rPr>
            <w:instrText xml:space="preserve"> PAGEREF _Toc21375 \h </w:instrText>
          </w:r>
          <w:r>
            <w:rPr>
              <w:sz w:val="32"/>
              <w:szCs w:val="32"/>
              <w:highlight w:val="none"/>
            </w:rPr>
            <w:fldChar w:fldCharType="separate"/>
          </w:r>
          <w:r>
            <w:rPr>
              <w:sz w:val="32"/>
              <w:szCs w:val="32"/>
              <w:highlight w:val="none"/>
            </w:rPr>
            <w:t>- 72 -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D012359">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_Toc1523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繁荣文化和体育事业</w:t>
          </w:r>
          <w:r>
            <w:rPr>
              <w:sz w:val="32"/>
              <w:szCs w:val="32"/>
              <w:highlight w:val="none"/>
            </w:rPr>
            <w:tab/>
          </w:r>
          <w:r>
            <w:rPr>
              <w:sz w:val="32"/>
              <w:szCs w:val="32"/>
              <w:highlight w:val="none"/>
            </w:rPr>
            <w:fldChar w:fldCharType="begin"/>
          </w:r>
          <w:r>
            <w:rPr>
              <w:sz w:val="32"/>
              <w:szCs w:val="32"/>
              <w:highlight w:val="none"/>
            </w:rPr>
            <w:instrText xml:space="preserve"> PAGEREF _Toc1523 \h </w:instrText>
          </w:r>
          <w:r>
            <w:rPr>
              <w:sz w:val="32"/>
              <w:szCs w:val="32"/>
              <w:highlight w:val="none"/>
            </w:rPr>
            <w:fldChar w:fldCharType="separate"/>
          </w:r>
          <w:r>
            <w:rPr>
              <w:sz w:val="32"/>
              <w:szCs w:val="32"/>
              <w:highlight w:val="none"/>
            </w:rPr>
            <w:t>- 72 -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457D7252">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_Toc3265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打造特色旅游品牌</w:t>
          </w:r>
          <w:r>
            <w:rPr>
              <w:sz w:val="32"/>
              <w:szCs w:val="32"/>
              <w:highlight w:val="none"/>
            </w:rPr>
            <w:tab/>
          </w:r>
          <w:r>
            <w:rPr>
              <w:sz w:val="32"/>
              <w:szCs w:val="32"/>
              <w:highlight w:val="none"/>
            </w:rPr>
            <w:fldChar w:fldCharType="begin"/>
          </w:r>
          <w:r>
            <w:rPr>
              <w:sz w:val="32"/>
              <w:szCs w:val="32"/>
              <w:highlight w:val="none"/>
            </w:rPr>
            <w:instrText xml:space="preserve"> PAGEREF _Toc3265 \h </w:instrText>
          </w:r>
          <w:r>
            <w:rPr>
              <w:sz w:val="32"/>
              <w:szCs w:val="32"/>
              <w:highlight w:val="none"/>
            </w:rPr>
            <w:fldChar w:fldCharType="separate"/>
          </w:r>
          <w:r>
            <w:rPr>
              <w:sz w:val="32"/>
              <w:szCs w:val="32"/>
              <w:highlight w:val="none"/>
            </w:rPr>
            <w:t>- 74 -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1091F4B3">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_Toc1160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促进城乡居民增收</w:t>
          </w:r>
          <w:r>
            <w:rPr>
              <w:sz w:val="32"/>
              <w:szCs w:val="32"/>
              <w:highlight w:val="none"/>
            </w:rPr>
            <w:tab/>
          </w:r>
          <w:r>
            <w:rPr>
              <w:sz w:val="32"/>
              <w:szCs w:val="32"/>
              <w:highlight w:val="none"/>
            </w:rPr>
            <w:fldChar w:fldCharType="begin"/>
          </w:r>
          <w:r>
            <w:rPr>
              <w:sz w:val="32"/>
              <w:szCs w:val="32"/>
              <w:highlight w:val="none"/>
            </w:rPr>
            <w:instrText xml:space="preserve"> PAGEREF _Toc1160 \h </w:instrText>
          </w:r>
          <w:r>
            <w:rPr>
              <w:sz w:val="32"/>
              <w:szCs w:val="32"/>
              <w:highlight w:val="none"/>
            </w:rPr>
            <w:fldChar w:fldCharType="separate"/>
          </w:r>
          <w:r>
            <w:rPr>
              <w:sz w:val="32"/>
              <w:szCs w:val="32"/>
              <w:highlight w:val="none"/>
            </w:rPr>
            <w:t>- 75 -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85CD8DB">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_Toc1165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建设高质量教育体系</w:t>
          </w:r>
          <w:r>
            <w:rPr>
              <w:sz w:val="32"/>
              <w:szCs w:val="32"/>
              <w:highlight w:val="none"/>
            </w:rPr>
            <w:tab/>
          </w:r>
          <w:r>
            <w:rPr>
              <w:sz w:val="32"/>
              <w:szCs w:val="32"/>
              <w:highlight w:val="none"/>
            </w:rPr>
            <w:fldChar w:fldCharType="begin"/>
          </w:r>
          <w:r>
            <w:rPr>
              <w:sz w:val="32"/>
              <w:szCs w:val="32"/>
              <w:highlight w:val="none"/>
            </w:rPr>
            <w:instrText xml:space="preserve"> PAGEREF _Toc1165 \h </w:instrText>
          </w:r>
          <w:r>
            <w:rPr>
              <w:sz w:val="32"/>
              <w:szCs w:val="32"/>
              <w:highlight w:val="none"/>
            </w:rPr>
            <w:fldChar w:fldCharType="separate"/>
          </w:r>
          <w:r>
            <w:rPr>
              <w:sz w:val="32"/>
              <w:szCs w:val="32"/>
              <w:highlight w:val="none"/>
            </w:rPr>
            <w:t>- 77 -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78C270B">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_Toc27297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第五节 完善医疗卫生服务体系</w:t>
          </w:r>
          <w:r>
            <w:rPr>
              <w:sz w:val="32"/>
              <w:szCs w:val="32"/>
              <w:highlight w:val="none"/>
            </w:rPr>
            <w:tab/>
          </w:r>
          <w:r>
            <w:rPr>
              <w:sz w:val="32"/>
              <w:szCs w:val="32"/>
              <w:highlight w:val="none"/>
            </w:rPr>
            <w:fldChar w:fldCharType="begin"/>
          </w:r>
          <w:r>
            <w:rPr>
              <w:sz w:val="32"/>
              <w:szCs w:val="32"/>
              <w:highlight w:val="none"/>
            </w:rPr>
            <w:instrText xml:space="preserve"> PAGEREF _Toc27297 \h </w:instrText>
          </w:r>
          <w:r>
            <w:rPr>
              <w:sz w:val="32"/>
              <w:szCs w:val="32"/>
              <w:highlight w:val="none"/>
            </w:rPr>
            <w:fldChar w:fldCharType="separate"/>
          </w:r>
          <w:r>
            <w:rPr>
              <w:sz w:val="32"/>
              <w:szCs w:val="32"/>
              <w:highlight w:val="none"/>
            </w:rPr>
            <w:t>- 79 -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04C08DF">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_Toc29035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第六节 兜牢兜实社会保障底线</w:t>
          </w:r>
          <w:r>
            <w:rPr>
              <w:sz w:val="32"/>
              <w:szCs w:val="32"/>
              <w:highlight w:val="none"/>
            </w:rPr>
            <w:tab/>
          </w:r>
          <w:r>
            <w:rPr>
              <w:sz w:val="32"/>
              <w:szCs w:val="32"/>
              <w:highlight w:val="none"/>
            </w:rPr>
            <w:fldChar w:fldCharType="begin"/>
          </w:r>
          <w:r>
            <w:rPr>
              <w:sz w:val="32"/>
              <w:szCs w:val="32"/>
              <w:highlight w:val="none"/>
            </w:rPr>
            <w:instrText xml:space="preserve"> PAGEREF _Toc29035 \h </w:instrText>
          </w:r>
          <w:r>
            <w:rPr>
              <w:sz w:val="32"/>
              <w:szCs w:val="32"/>
              <w:highlight w:val="none"/>
            </w:rPr>
            <w:fldChar w:fldCharType="separate"/>
          </w:r>
          <w:r>
            <w:rPr>
              <w:sz w:val="32"/>
              <w:szCs w:val="32"/>
              <w:highlight w:val="none"/>
            </w:rPr>
            <w:t>- 81 -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8C6F0EC">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_Toc12210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第十三章  统筹发展和安全 提升本质安全水平</w:t>
          </w:r>
          <w:r>
            <w:rPr>
              <w:sz w:val="32"/>
              <w:szCs w:val="32"/>
              <w:highlight w:val="none"/>
            </w:rPr>
            <w:tab/>
          </w:r>
          <w:r>
            <w:rPr>
              <w:sz w:val="32"/>
              <w:szCs w:val="32"/>
              <w:highlight w:val="none"/>
            </w:rPr>
            <w:fldChar w:fldCharType="begin"/>
          </w:r>
          <w:r>
            <w:rPr>
              <w:sz w:val="32"/>
              <w:szCs w:val="32"/>
              <w:highlight w:val="none"/>
            </w:rPr>
            <w:instrText xml:space="preserve"> PAGEREF _Toc12210 \h </w:instrText>
          </w:r>
          <w:r>
            <w:rPr>
              <w:sz w:val="32"/>
              <w:szCs w:val="32"/>
              <w:highlight w:val="none"/>
            </w:rPr>
            <w:fldChar w:fldCharType="separate"/>
          </w:r>
          <w:r>
            <w:rPr>
              <w:sz w:val="32"/>
              <w:szCs w:val="32"/>
              <w:highlight w:val="none"/>
            </w:rPr>
            <w:t>- 82 -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61F31508">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_Toc17374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加强国家安全体系和能力建设</w:t>
          </w:r>
          <w:r>
            <w:rPr>
              <w:sz w:val="32"/>
              <w:szCs w:val="32"/>
              <w:highlight w:val="none"/>
            </w:rPr>
            <w:tab/>
          </w:r>
          <w:r>
            <w:rPr>
              <w:sz w:val="32"/>
              <w:szCs w:val="32"/>
              <w:highlight w:val="none"/>
            </w:rPr>
            <w:fldChar w:fldCharType="begin"/>
          </w:r>
          <w:r>
            <w:rPr>
              <w:sz w:val="32"/>
              <w:szCs w:val="32"/>
              <w:highlight w:val="none"/>
            </w:rPr>
            <w:instrText xml:space="preserve"> PAGEREF _Toc17374 \h </w:instrText>
          </w:r>
          <w:r>
            <w:rPr>
              <w:sz w:val="32"/>
              <w:szCs w:val="32"/>
              <w:highlight w:val="none"/>
            </w:rPr>
            <w:fldChar w:fldCharType="separate"/>
          </w:r>
          <w:r>
            <w:rPr>
              <w:sz w:val="32"/>
              <w:szCs w:val="32"/>
              <w:highlight w:val="none"/>
            </w:rPr>
            <w:t>- 82 -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3B3B21A9">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_Toc1413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防范化解重点领域风险</w:t>
          </w:r>
          <w:r>
            <w:rPr>
              <w:sz w:val="32"/>
              <w:szCs w:val="32"/>
              <w:highlight w:val="none"/>
            </w:rPr>
            <w:tab/>
          </w:r>
          <w:r>
            <w:rPr>
              <w:sz w:val="32"/>
              <w:szCs w:val="32"/>
              <w:highlight w:val="none"/>
            </w:rPr>
            <w:fldChar w:fldCharType="begin"/>
          </w:r>
          <w:r>
            <w:rPr>
              <w:sz w:val="32"/>
              <w:szCs w:val="32"/>
              <w:highlight w:val="none"/>
            </w:rPr>
            <w:instrText xml:space="preserve"> PAGEREF _Toc1413 \h </w:instrText>
          </w:r>
          <w:r>
            <w:rPr>
              <w:sz w:val="32"/>
              <w:szCs w:val="32"/>
              <w:highlight w:val="none"/>
            </w:rPr>
            <w:fldChar w:fldCharType="separate"/>
          </w:r>
          <w:r>
            <w:rPr>
              <w:sz w:val="32"/>
              <w:szCs w:val="32"/>
              <w:highlight w:val="none"/>
            </w:rPr>
            <w:t>- 83 -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DFD2A03">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_Toc17529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持续强化公共安全治理</w:t>
          </w:r>
          <w:r>
            <w:rPr>
              <w:sz w:val="32"/>
              <w:szCs w:val="32"/>
              <w:highlight w:val="none"/>
            </w:rPr>
            <w:tab/>
          </w:r>
          <w:r>
            <w:rPr>
              <w:sz w:val="32"/>
              <w:szCs w:val="32"/>
              <w:highlight w:val="none"/>
            </w:rPr>
            <w:fldChar w:fldCharType="begin"/>
          </w:r>
          <w:r>
            <w:rPr>
              <w:sz w:val="32"/>
              <w:szCs w:val="32"/>
              <w:highlight w:val="none"/>
            </w:rPr>
            <w:instrText xml:space="preserve"> PAGEREF _Toc17529 \h </w:instrText>
          </w:r>
          <w:r>
            <w:rPr>
              <w:sz w:val="32"/>
              <w:szCs w:val="32"/>
              <w:highlight w:val="none"/>
            </w:rPr>
            <w:fldChar w:fldCharType="separate"/>
          </w:r>
          <w:r>
            <w:rPr>
              <w:sz w:val="32"/>
              <w:szCs w:val="32"/>
              <w:highlight w:val="none"/>
            </w:rPr>
            <w:t>- 84 -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7E2AC7D">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_Toc16529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加快提升社会治理水平</w:t>
          </w:r>
          <w:r>
            <w:rPr>
              <w:sz w:val="32"/>
              <w:szCs w:val="32"/>
              <w:highlight w:val="none"/>
            </w:rPr>
            <w:tab/>
          </w:r>
          <w:r>
            <w:rPr>
              <w:sz w:val="32"/>
              <w:szCs w:val="32"/>
              <w:highlight w:val="none"/>
            </w:rPr>
            <w:fldChar w:fldCharType="begin"/>
          </w:r>
          <w:r>
            <w:rPr>
              <w:sz w:val="32"/>
              <w:szCs w:val="32"/>
              <w:highlight w:val="none"/>
            </w:rPr>
            <w:instrText xml:space="preserve"> PAGEREF _Toc16529 \h </w:instrText>
          </w:r>
          <w:r>
            <w:rPr>
              <w:sz w:val="32"/>
              <w:szCs w:val="32"/>
              <w:highlight w:val="none"/>
            </w:rPr>
            <w:fldChar w:fldCharType="separate"/>
          </w:r>
          <w:r>
            <w:rPr>
              <w:sz w:val="32"/>
              <w:szCs w:val="32"/>
              <w:highlight w:val="none"/>
            </w:rPr>
            <w:t>- 85 -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DD7411C">
          <w:pPr>
            <w:pStyle w:val="9"/>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_Toc4957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ascii="方正小标宋简体" w:hAnsi="方正小标宋简体" w:eastAsia="方正小标宋简体" w:cs="方正小标宋简体"/>
              <w:bCs/>
              <w:sz w:val="32"/>
              <w:szCs w:val="32"/>
              <w:highlight w:val="none"/>
              <w:lang w:val="en-US" w:eastAsia="zh-CN"/>
            </w:rPr>
            <w:t>第十四章  坚持党的全面领导 凝聚高质量发展合力</w:t>
          </w:r>
          <w:r>
            <w:rPr>
              <w:sz w:val="32"/>
              <w:szCs w:val="32"/>
              <w:highlight w:val="none"/>
            </w:rPr>
            <w:tab/>
          </w:r>
          <w:r>
            <w:rPr>
              <w:sz w:val="32"/>
              <w:szCs w:val="32"/>
              <w:highlight w:val="none"/>
            </w:rPr>
            <w:fldChar w:fldCharType="begin"/>
          </w:r>
          <w:r>
            <w:rPr>
              <w:sz w:val="32"/>
              <w:szCs w:val="32"/>
              <w:highlight w:val="none"/>
            </w:rPr>
            <w:instrText xml:space="preserve"> PAGEREF _Toc4957 \h </w:instrText>
          </w:r>
          <w:r>
            <w:rPr>
              <w:sz w:val="32"/>
              <w:szCs w:val="32"/>
              <w:highlight w:val="none"/>
            </w:rPr>
            <w:fldChar w:fldCharType="separate"/>
          </w:r>
          <w:r>
            <w:rPr>
              <w:sz w:val="32"/>
              <w:szCs w:val="32"/>
              <w:highlight w:val="none"/>
            </w:rPr>
            <w:t>- 86 -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49873C78">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_Toc12267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第一节 坚持和加强党的全面领导</w:t>
          </w:r>
          <w:r>
            <w:rPr>
              <w:sz w:val="32"/>
              <w:szCs w:val="32"/>
              <w:highlight w:val="none"/>
            </w:rPr>
            <w:tab/>
          </w:r>
          <w:r>
            <w:rPr>
              <w:sz w:val="32"/>
              <w:szCs w:val="32"/>
              <w:highlight w:val="none"/>
            </w:rPr>
            <w:fldChar w:fldCharType="begin"/>
          </w:r>
          <w:r>
            <w:rPr>
              <w:sz w:val="32"/>
              <w:szCs w:val="32"/>
              <w:highlight w:val="none"/>
            </w:rPr>
            <w:instrText xml:space="preserve"> PAGEREF _Toc12267 \h </w:instrText>
          </w:r>
          <w:r>
            <w:rPr>
              <w:sz w:val="32"/>
              <w:szCs w:val="32"/>
              <w:highlight w:val="none"/>
            </w:rPr>
            <w:fldChar w:fldCharType="separate"/>
          </w:r>
          <w:r>
            <w:rPr>
              <w:sz w:val="32"/>
              <w:szCs w:val="32"/>
              <w:highlight w:val="none"/>
            </w:rPr>
            <w:t>- 87 -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85177C6">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_Toc7389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第二节 推动全面从严治党向纵深发展</w:t>
          </w:r>
          <w:r>
            <w:rPr>
              <w:sz w:val="32"/>
              <w:szCs w:val="32"/>
              <w:highlight w:val="none"/>
            </w:rPr>
            <w:tab/>
          </w:r>
          <w:r>
            <w:rPr>
              <w:sz w:val="32"/>
              <w:szCs w:val="32"/>
              <w:highlight w:val="none"/>
            </w:rPr>
            <w:fldChar w:fldCharType="begin"/>
          </w:r>
          <w:r>
            <w:rPr>
              <w:sz w:val="32"/>
              <w:szCs w:val="32"/>
              <w:highlight w:val="none"/>
            </w:rPr>
            <w:instrText xml:space="preserve"> PAGEREF _Toc7389 \h </w:instrText>
          </w:r>
          <w:r>
            <w:rPr>
              <w:sz w:val="32"/>
              <w:szCs w:val="32"/>
              <w:highlight w:val="none"/>
            </w:rPr>
            <w:fldChar w:fldCharType="separate"/>
          </w:r>
          <w:r>
            <w:rPr>
              <w:sz w:val="32"/>
              <w:szCs w:val="32"/>
              <w:highlight w:val="none"/>
            </w:rPr>
            <w:t>- 88 -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02D7CA04">
          <w:pPr>
            <w:pStyle w:val="10"/>
            <w:tabs>
              <w:tab w:val="right" w:leader="dot" w:pos="8334"/>
            </w:tabs>
            <w:rPr>
              <w:sz w:val="32"/>
              <w:szCs w:val="32"/>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_Toc18917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第三节 完善规划实施机制</w:t>
          </w:r>
          <w:r>
            <w:rPr>
              <w:sz w:val="32"/>
              <w:szCs w:val="32"/>
              <w:highlight w:val="none"/>
            </w:rPr>
            <w:tab/>
          </w:r>
          <w:r>
            <w:rPr>
              <w:sz w:val="32"/>
              <w:szCs w:val="32"/>
              <w:highlight w:val="none"/>
            </w:rPr>
            <w:fldChar w:fldCharType="begin"/>
          </w:r>
          <w:r>
            <w:rPr>
              <w:sz w:val="32"/>
              <w:szCs w:val="32"/>
              <w:highlight w:val="none"/>
            </w:rPr>
            <w:instrText xml:space="preserve"> PAGEREF _Toc18917 \h </w:instrText>
          </w:r>
          <w:r>
            <w:rPr>
              <w:sz w:val="32"/>
              <w:szCs w:val="32"/>
              <w:highlight w:val="none"/>
            </w:rPr>
            <w:fldChar w:fldCharType="separate"/>
          </w:r>
          <w:r>
            <w:rPr>
              <w:sz w:val="32"/>
              <w:szCs w:val="32"/>
              <w:highlight w:val="none"/>
            </w:rPr>
            <w:t>- 88 -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58116184">
          <w:pPr>
            <w:pStyle w:val="10"/>
            <w:tabs>
              <w:tab w:val="right" w:leader="dot" w:pos="8334"/>
            </w:tabs>
            <w:rPr>
              <w:highlight w:val="none"/>
            </w:rPr>
          </w:pPr>
          <w:r>
            <w:rPr>
              <w:rFonts w:hint="eastAsia" w:ascii="仿宋_GB2312" w:hAnsi="仿宋_GB2312" w:eastAsia="仿宋_GB2312" w:cs="仿宋_GB2312"/>
              <w:bCs w:val="0"/>
              <w:spacing w:val="7"/>
              <w:sz w:val="32"/>
              <w:szCs w:val="32"/>
              <w:highlight w:val="none"/>
              <w:lang w:val="en-US" w:eastAsia="zh-CN"/>
            </w:rPr>
            <w:fldChar w:fldCharType="begin"/>
          </w:r>
          <w:r>
            <w:rPr>
              <w:rFonts w:hint="eastAsia" w:ascii="仿宋_GB2312" w:hAnsi="仿宋_GB2312" w:eastAsia="仿宋_GB2312" w:cs="仿宋_GB2312"/>
              <w:bCs w:val="0"/>
              <w:spacing w:val="7"/>
              <w:sz w:val="32"/>
              <w:szCs w:val="32"/>
              <w:highlight w:val="none"/>
              <w:lang w:val="en-US" w:eastAsia="zh-CN"/>
            </w:rPr>
            <w:instrText xml:space="preserve"> HYPERLINK \l _Toc29729 </w:instrText>
          </w:r>
          <w:r>
            <w:rPr>
              <w:rFonts w:hint="eastAsia" w:ascii="仿宋_GB2312" w:hAnsi="仿宋_GB2312" w:eastAsia="仿宋_GB2312" w:cs="仿宋_GB2312"/>
              <w:bCs w:val="0"/>
              <w:spacing w:val="7"/>
              <w:sz w:val="32"/>
              <w:szCs w:val="32"/>
              <w:highlight w:val="none"/>
              <w:lang w:val="en-US" w:eastAsia="zh-CN"/>
            </w:rPr>
            <w:fldChar w:fldCharType="separate"/>
          </w:r>
          <w:r>
            <w:rPr>
              <w:rFonts w:hint="eastAsia"/>
              <w:bCs/>
              <w:sz w:val="32"/>
              <w:szCs w:val="32"/>
              <w:highlight w:val="none"/>
              <w:lang w:val="en-US" w:eastAsia="zh-CN"/>
            </w:rPr>
            <w:t>第四节 强化规划项目支撑</w:t>
          </w:r>
          <w:r>
            <w:rPr>
              <w:sz w:val="32"/>
              <w:szCs w:val="32"/>
              <w:highlight w:val="none"/>
            </w:rPr>
            <w:tab/>
          </w:r>
          <w:r>
            <w:rPr>
              <w:sz w:val="32"/>
              <w:szCs w:val="32"/>
              <w:highlight w:val="none"/>
            </w:rPr>
            <w:fldChar w:fldCharType="begin"/>
          </w:r>
          <w:r>
            <w:rPr>
              <w:sz w:val="32"/>
              <w:szCs w:val="32"/>
              <w:highlight w:val="none"/>
            </w:rPr>
            <w:instrText xml:space="preserve"> PAGEREF _Toc29729 \h </w:instrText>
          </w:r>
          <w:r>
            <w:rPr>
              <w:sz w:val="32"/>
              <w:szCs w:val="32"/>
              <w:highlight w:val="none"/>
            </w:rPr>
            <w:fldChar w:fldCharType="separate"/>
          </w:r>
          <w:r>
            <w:rPr>
              <w:sz w:val="32"/>
              <w:szCs w:val="32"/>
              <w:highlight w:val="none"/>
            </w:rPr>
            <w:t>- 89 -</w:t>
          </w:r>
          <w:r>
            <w:rPr>
              <w:sz w:val="32"/>
              <w:szCs w:val="32"/>
              <w:highlight w:val="none"/>
            </w:rPr>
            <w:fldChar w:fldCharType="end"/>
          </w:r>
          <w:r>
            <w:rPr>
              <w:rFonts w:hint="eastAsia" w:ascii="仿宋_GB2312" w:hAnsi="仿宋_GB2312" w:eastAsia="仿宋_GB2312" w:cs="仿宋_GB2312"/>
              <w:bCs w:val="0"/>
              <w:spacing w:val="7"/>
              <w:sz w:val="32"/>
              <w:szCs w:val="32"/>
              <w:highlight w:val="none"/>
              <w:lang w:val="en-US" w:eastAsia="zh-CN"/>
            </w:rPr>
            <w:fldChar w:fldCharType="end"/>
          </w:r>
        </w:p>
        <w:p w14:paraId="28A6275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eastAsia" w:ascii="仿宋_GB2312" w:hAnsi="仿宋_GB2312" w:eastAsia="仿宋_GB2312" w:cs="仿宋_GB2312"/>
              <w:bCs w:val="0"/>
              <w:spacing w:val="7"/>
              <w:szCs w:val="32"/>
              <w:highlight w:val="none"/>
              <w:lang w:val="en-US" w:eastAsia="zh-CN"/>
            </w:rPr>
          </w:pPr>
          <w:r>
            <w:rPr>
              <w:rFonts w:hint="eastAsia" w:ascii="仿宋_GB2312" w:hAnsi="仿宋_GB2312" w:eastAsia="仿宋_GB2312" w:cs="仿宋_GB2312"/>
              <w:bCs w:val="0"/>
              <w:spacing w:val="7"/>
              <w:szCs w:val="32"/>
              <w:highlight w:val="none"/>
              <w:lang w:val="en-US" w:eastAsia="zh-CN"/>
            </w:rPr>
            <w:fldChar w:fldCharType="end"/>
          </w:r>
        </w:p>
        <w:p w14:paraId="5414D7E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eastAsia" w:ascii="仿宋_GB2312" w:hAnsi="仿宋_GB2312" w:eastAsia="仿宋_GB2312" w:cs="仿宋_GB2312"/>
              <w:bCs w:val="0"/>
              <w:spacing w:val="7"/>
              <w:szCs w:val="32"/>
              <w:highlight w:val="none"/>
              <w:lang w:val="en-US" w:eastAsia="zh-CN"/>
            </w:rPr>
          </w:pPr>
        </w:p>
        <w:p w14:paraId="4C7D55E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eastAsia" w:ascii="方正小标宋_GBK" w:hAnsi="方正小标宋_GBK" w:eastAsia="方正小标宋_GBK" w:cs="方正小标宋_GBK"/>
              <w:bCs w:val="0"/>
              <w:snapToGrid w:val="0"/>
              <w:color w:val="000000"/>
              <w:spacing w:val="7"/>
              <w:kern w:val="0"/>
              <w:sz w:val="28"/>
              <w:szCs w:val="36"/>
              <w:highlight w:val="none"/>
              <w:lang w:val="en-US" w:eastAsia="zh-CN" w:bidi="ar-SA"/>
            </w:rPr>
          </w:pPr>
          <w:r>
            <w:rPr>
              <w:rFonts w:hint="eastAsia" w:ascii="方正小标宋简体" w:hAnsi="方正小标宋简体" w:eastAsia="方正小标宋简体" w:cs="方正小标宋简体"/>
              <w:bCs w:val="0"/>
              <w:spacing w:val="7"/>
              <w:sz w:val="36"/>
              <w:szCs w:val="36"/>
              <w:highlight w:val="none"/>
              <w:lang w:val="en-US" w:eastAsia="zh-CN"/>
            </w:rPr>
            <w:t>前  言</w:t>
          </w:r>
        </w:p>
      </w:sdtContent>
    </w:sdt>
    <w:p w14:paraId="4B9847F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40" w:firstLineChars="200"/>
        <w:jc w:val="both"/>
        <w:textAlignment w:val="baseline"/>
        <w:outlineLvl w:val="9"/>
        <w:rPr>
          <w:rFonts w:hint="eastAsia" w:ascii="仿宋_GB2312" w:hAnsi="仿宋_GB2312" w:eastAsia="仿宋_GB2312" w:cs="仿宋_GB2312"/>
          <w:sz w:val="32"/>
          <w:szCs w:val="32"/>
          <w:highlight w:val="none"/>
          <w:lang w:val="en-US" w:eastAsia="zh-CN"/>
        </w:rPr>
      </w:pPr>
    </w:p>
    <w:p w14:paraId="0260910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40" w:firstLineChars="200"/>
        <w:jc w:val="both"/>
        <w:textAlignment w:val="baseline"/>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十五五”时期是宝山区在全面建成小康社会的基础上，开启社会主义现代化建设新征程的关键五年，具有承前启后的历史地位。党的十八大以来，宝山区紧密团结在以习近平同志为核心的党中央周围，高举习近平新时代中国特色社会主义思想旗帜，在市委、市政府的坚强领导下，振奋精神、创新实干取得了历史性成就。“十五五”规划集中体现了宝山区在落实党和国家未来五年战略意图和中长期发展目标的具体举措，能够确保宏观政策的延续性，有效引领全社会力量朝着既定的战略目标前进，最终形成推动宝山区破浪前行的强大合力。对于宝山区全面落实党的二十大战略部署、推进中国式现代化意义重大，宝山区将通过“十四五”“十五五”“十六五”三个五年的努力，实现高质量发展基本格局，到</w:t>
      </w:r>
      <w:r>
        <w:rPr>
          <w:rFonts w:hint="eastAsia" w:ascii="Times New Roman" w:hAnsi="Times New Roman" w:eastAsia="仿宋_GB2312" w:cs="Times New Roman"/>
          <w:b w:val="0"/>
          <w:bCs w:val="0"/>
          <w:spacing w:val="6"/>
          <w:kern w:val="0"/>
          <w:sz w:val="32"/>
          <w:szCs w:val="32"/>
          <w:highlight w:val="none"/>
          <w:lang w:val="en-US" w:eastAsia="zh-CN" w:bidi="ar"/>
        </w:rPr>
        <w:t>2035</w:t>
      </w:r>
      <w:r>
        <w:rPr>
          <w:rFonts w:hint="eastAsia" w:ascii="仿宋_GB2312" w:hAnsi="仿宋_GB2312" w:eastAsia="仿宋_GB2312" w:cs="仿宋_GB2312"/>
          <w:sz w:val="32"/>
          <w:szCs w:val="32"/>
          <w:highlight w:val="none"/>
          <w:lang w:val="en-US" w:eastAsia="zh-CN"/>
        </w:rPr>
        <w:t>年基本实现社会主义现代化。</w:t>
      </w:r>
    </w:p>
    <w:p w14:paraId="08CD34B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sectPr>
          <w:footerReference r:id="rId4" w:type="default"/>
          <w:pgSz w:w="11904" w:h="16835"/>
          <w:pgMar w:top="1430" w:right="1785" w:bottom="1215" w:left="1785" w:header="0" w:footer="1049" w:gutter="0"/>
          <w:pgBorders>
            <w:top w:val="none" w:sz="0" w:space="0"/>
            <w:left w:val="none" w:sz="0" w:space="0"/>
            <w:bottom w:val="none" w:sz="0" w:space="0"/>
            <w:right w:val="none" w:sz="0" w:space="0"/>
          </w:pgBorders>
          <w:pgNumType w:fmt="numberInDash" w:start="1"/>
          <w:cols w:space="720" w:num="1"/>
        </w:sectPr>
      </w:pPr>
      <w:r>
        <w:rPr>
          <w:rFonts w:hint="eastAsia" w:ascii="仿宋_GB2312" w:hAnsi="仿宋_GB2312" w:eastAsia="仿宋_GB2312" w:cs="仿宋_GB2312"/>
          <w:sz w:val="32"/>
          <w:szCs w:val="32"/>
          <w:highlight w:val="none"/>
          <w:lang w:val="en-US" w:eastAsia="zh-CN"/>
        </w:rPr>
        <w:t>本纲要依据《中共宝山区委关于制定国民经济和社会发展第十五个五年规划的建议》编制，是擘画全区今后五年国民经济和社会发展的宏伟蓝图的重要抓手，是全区人民努力奋斗的行动纲领。</w:t>
      </w:r>
    </w:p>
    <w:p w14:paraId="2AC3921F">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0" w:name="bookmark72"/>
      <w:bookmarkEnd w:id="0"/>
      <w:bookmarkStart w:id="1" w:name="_Toc29054"/>
      <w:bookmarkStart w:id="2" w:name="_Toc2618"/>
      <w:bookmarkStart w:id="3" w:name="_Toc29621"/>
      <w:bookmarkStart w:id="4" w:name="_Toc18727"/>
      <w:r>
        <w:rPr>
          <w:rFonts w:hint="eastAsia" w:ascii="方正小标宋简体" w:hAnsi="方正小标宋简体" w:eastAsia="方正小标宋简体" w:cs="方正小标宋简体"/>
          <w:b w:val="0"/>
          <w:bCs/>
          <w:sz w:val="36"/>
          <w:szCs w:val="36"/>
          <w:highlight w:val="none"/>
          <w:lang w:val="en-US" w:eastAsia="zh-CN"/>
        </w:rPr>
        <w:t xml:space="preserve">第一章  </w:t>
      </w:r>
      <w:bookmarkEnd w:id="1"/>
      <w:bookmarkEnd w:id="2"/>
      <w:bookmarkEnd w:id="3"/>
      <w:r>
        <w:rPr>
          <w:rFonts w:hint="eastAsia" w:ascii="方正小标宋简体" w:hAnsi="方正小标宋简体" w:eastAsia="方正小标宋简体" w:cs="方正小标宋简体"/>
          <w:b w:val="0"/>
          <w:bCs/>
          <w:sz w:val="36"/>
          <w:szCs w:val="36"/>
          <w:highlight w:val="none"/>
          <w:lang w:val="en-US" w:eastAsia="zh-CN"/>
        </w:rPr>
        <w:t>贯彻新发展理念 高质量发展提质增效</w:t>
      </w:r>
      <w:bookmarkEnd w:id="4"/>
    </w:p>
    <w:p w14:paraId="4FF8DB93">
      <w:pPr>
        <w:rPr>
          <w:rFonts w:hint="eastAsia"/>
          <w:highlight w:val="none"/>
        </w:rPr>
      </w:pPr>
    </w:p>
    <w:p w14:paraId="291A63ED">
      <w:pPr>
        <w:pStyle w:val="3"/>
        <w:pageBreakBefore w:val="0"/>
        <w:widowControl/>
        <w:kinsoku w:val="0"/>
        <w:wordWrap/>
        <w:overflowPunct/>
        <w:topLinePunct w:val="0"/>
        <w:autoSpaceDE w:val="0"/>
        <w:autoSpaceDN w:val="0"/>
        <w:bidi w:val="0"/>
        <w:adjustRightInd w:val="0"/>
        <w:snapToGrid w:val="0"/>
        <w:spacing w:before="0" w:beforeLines="0" w:after="0" w:afterLines="0" w:line="580" w:lineRule="exact"/>
        <w:jc w:val="center"/>
        <w:textAlignment w:val="baseline"/>
        <w:rPr>
          <w:rFonts w:hint="eastAsia"/>
          <w:b w:val="0"/>
          <w:bCs/>
          <w:highlight w:val="none"/>
          <w:lang w:val="en-US" w:eastAsia="zh-CN"/>
        </w:rPr>
      </w:pPr>
      <w:bookmarkStart w:id="5" w:name="_Toc31354"/>
      <w:bookmarkStart w:id="6" w:name="_Toc1193"/>
      <w:bookmarkStart w:id="7" w:name="_Toc24013"/>
      <w:bookmarkStart w:id="8" w:name="_Toc20067"/>
      <w:r>
        <w:rPr>
          <w:rFonts w:hint="eastAsia"/>
          <w:b w:val="0"/>
          <w:bCs/>
          <w:highlight w:val="none"/>
        </w:rPr>
        <w:t>第一节“十四五”时期</w:t>
      </w:r>
      <w:r>
        <w:rPr>
          <w:rFonts w:hint="eastAsia"/>
          <w:b w:val="0"/>
          <w:bCs/>
          <w:highlight w:val="none"/>
          <w:lang w:val="en-US" w:eastAsia="zh-CN"/>
        </w:rPr>
        <w:t>取得</w:t>
      </w:r>
      <w:r>
        <w:rPr>
          <w:rFonts w:hint="eastAsia"/>
          <w:b w:val="0"/>
          <w:bCs/>
          <w:highlight w:val="none"/>
        </w:rPr>
        <w:t>成就</w:t>
      </w:r>
      <w:bookmarkEnd w:id="5"/>
      <w:bookmarkEnd w:id="6"/>
      <w:bookmarkEnd w:id="7"/>
      <w:bookmarkEnd w:id="8"/>
    </w:p>
    <w:p w14:paraId="25AFC3D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十四五”时期，全区上下坚持以习近平新时代中国特色社会主义思想为指导，深入贯彻党的二十大和二十届二中、三中、四中全会精神，全面落实习近平总书记视察黑龙江省期间重要讲话重要指示精神，坚持稳中求进工作总基调，完整准确全面贯彻新发展理念，服务和融入构建新发展格局，坚持创新驱动发展，加快构建现代产业体系，全面提升经济质量效益和核心竞争力。过去的五年，区委、区政府带领全区人民以区委九届党代会确定的发展目标为方向，围绕建设“六个龙江”，以“三航行动”再深入为引领，全力以赴稳经济、促改革、保稳定、惠民生，深入实施区域协调发展战略，着力改善民生福祉，推动经济社会发展全面绿色转型，全区经济运行稳中有进，转型升级扎实推进，民生福祉持续增进，宝山区煤电能源核心区、区域协作示范区、老矿区改造中心区、改革发展重点区的发展框架基本形成，高质量振兴发展取得新进展新成效。</w:t>
      </w:r>
    </w:p>
    <w:p w14:paraId="227C342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现代农业稳步发展。</w:t>
      </w:r>
      <w:r>
        <w:rPr>
          <w:rFonts w:hint="eastAsia" w:ascii="仿宋_GB2312" w:hAnsi="仿宋_GB2312" w:eastAsia="仿宋_GB2312" w:cs="仿宋_GB2312"/>
          <w:spacing w:val="7"/>
          <w:sz w:val="32"/>
          <w:szCs w:val="32"/>
          <w:highlight w:val="none"/>
          <w:lang w:val="en-US" w:eastAsia="zh-CN"/>
        </w:rPr>
        <w:t>坚持把粮食安全工作作为“三农”工作的首要任务，全力遏制耕地“非农化”“非粮化”。全区粮食播种面积稳定在</w:t>
      </w:r>
      <w:r>
        <w:rPr>
          <w:rFonts w:hint="eastAsia" w:ascii="Times New Roman" w:hAnsi="Times New Roman" w:eastAsia="仿宋_GB2312" w:cs="Times New Roman"/>
          <w:b w:val="0"/>
          <w:bCs w:val="0"/>
          <w:spacing w:val="6"/>
          <w:kern w:val="0"/>
          <w:sz w:val="32"/>
          <w:szCs w:val="32"/>
          <w:highlight w:val="none"/>
          <w:lang w:val="en-US" w:eastAsia="zh-CN" w:bidi="ar"/>
        </w:rPr>
        <w:t>45.5万亩以上，大豆种植面积增至13.96万亩，农业综合机械化水平达到98%。</w:t>
      </w:r>
      <w:r>
        <w:rPr>
          <w:rFonts w:hint="eastAsia" w:ascii="仿宋_GB2312" w:hAnsi="仿宋_GB2312" w:eastAsia="仿宋_GB2312" w:cs="仿宋_GB2312"/>
          <w:spacing w:val="7"/>
          <w:sz w:val="32"/>
          <w:szCs w:val="32"/>
          <w:highlight w:val="none"/>
          <w:lang w:val="en-US" w:eastAsia="zh-CN"/>
        </w:rPr>
        <w:t>畜禽养殖规模不断壮大，龙头公司+散养农户的发展模式基本形成，规模化养殖场数量增加</w:t>
      </w:r>
      <w:r>
        <w:rPr>
          <w:rFonts w:hint="eastAsia" w:ascii="Times New Roman" w:hAnsi="Times New Roman" w:eastAsia="仿宋_GB2312" w:cs="Times New Roman"/>
          <w:b w:val="0"/>
          <w:bCs w:val="0"/>
          <w:spacing w:val="6"/>
          <w:kern w:val="0"/>
          <w:sz w:val="32"/>
          <w:szCs w:val="32"/>
          <w:highlight w:val="none"/>
          <w:lang w:val="en-US" w:eastAsia="zh-CN" w:bidi="ar"/>
        </w:rPr>
        <w:t>至11家，全区生猪存栏量达到19.6万头，出栏量28.5万头。牛存栏1.6万头，出栏0.8万头。羊存栏2.3万只，出栏2.5万只。禽类存栏88万羽，出栏50万羽。畜禽免疫覆盖率保持100%。以翠博园五大经济作物种植板块为代表的特色经济作物种植规模进一步扩大。全区棚室规模达到1103栋，果蔬产出量突破800万斤，产值超4500万元。</w:t>
      </w:r>
      <w:r>
        <w:rPr>
          <w:rFonts w:hint="eastAsia" w:ascii="仿宋_GB2312" w:hAnsi="仿宋_GB2312" w:eastAsia="仿宋_GB2312" w:cs="仿宋_GB2312"/>
          <w:spacing w:val="7"/>
          <w:sz w:val="32"/>
          <w:szCs w:val="32"/>
          <w:highlight w:val="none"/>
          <w:lang w:val="en-US" w:eastAsia="zh-CN"/>
        </w:rPr>
        <w:t>以南瓮泉种植体系为基础，全力构建“种植－加工－销售”农副产品全链条生产体系，“十四五”期间，食用菌产量</w:t>
      </w:r>
      <w:r>
        <w:rPr>
          <w:rFonts w:hint="eastAsia" w:ascii="Times New Roman" w:hAnsi="Times New Roman" w:eastAsia="仿宋_GB2312" w:cs="Times New Roman"/>
          <w:b w:val="0"/>
          <w:bCs w:val="0"/>
          <w:spacing w:val="6"/>
          <w:kern w:val="0"/>
          <w:sz w:val="32"/>
          <w:szCs w:val="32"/>
          <w:highlight w:val="none"/>
          <w:lang w:val="en-US" w:eastAsia="zh-CN" w:bidi="ar"/>
        </w:rPr>
        <w:t>超3000万袋，食用菌产业年均收入突破1000万元</w:t>
      </w:r>
      <w:r>
        <w:rPr>
          <w:rFonts w:hint="eastAsia" w:ascii="仿宋_GB2312" w:hAnsi="仿宋_GB2312" w:eastAsia="仿宋_GB2312" w:cs="仿宋_GB2312"/>
          <w:spacing w:val="7"/>
          <w:sz w:val="32"/>
          <w:szCs w:val="32"/>
          <w:highlight w:val="none"/>
          <w:lang w:val="en-US" w:eastAsia="zh-CN"/>
        </w:rPr>
        <w:t>。“三减”高标准示范面积、绿色有机食品认证以及“互联网+农业”等方面均取得较大突破。</w:t>
      </w:r>
    </w:p>
    <w:p w14:paraId="3F82DFA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工业调结构谋转型。</w:t>
      </w:r>
      <w:r>
        <w:rPr>
          <w:rFonts w:hint="eastAsia" w:ascii="仿宋_GB2312" w:hAnsi="仿宋_GB2312" w:eastAsia="仿宋_GB2312" w:cs="仿宋_GB2312"/>
          <w:spacing w:val="7"/>
          <w:sz w:val="32"/>
          <w:szCs w:val="32"/>
          <w:highlight w:val="none"/>
          <w:lang w:val="en-US" w:eastAsia="zh-CN"/>
        </w:rPr>
        <w:t>传统能源模式谋新求变，国地煤企双向发</w:t>
      </w:r>
      <w:r>
        <w:rPr>
          <w:rFonts w:hint="eastAsia" w:ascii="Times New Roman" w:hAnsi="Times New Roman" w:eastAsia="仿宋_GB2312" w:cs="Times New Roman"/>
          <w:b w:val="0"/>
          <w:bCs w:val="0"/>
          <w:spacing w:val="6"/>
          <w:kern w:val="0"/>
          <w:sz w:val="32"/>
          <w:szCs w:val="32"/>
          <w:highlight w:val="none"/>
          <w:lang w:val="en-US" w:eastAsia="zh-CN" w:bidi="ar"/>
        </w:rPr>
        <w:t>力。全区煤矿增优汰劣保留13家，优化后地矿总规划产能实现390万吨/</w:t>
      </w:r>
      <w:r>
        <w:rPr>
          <w:rFonts w:hint="eastAsia" w:ascii="仿宋_GB2312" w:hAnsi="仿宋_GB2312" w:eastAsia="仿宋_GB2312" w:cs="仿宋_GB2312"/>
          <w:spacing w:val="7"/>
          <w:sz w:val="32"/>
          <w:szCs w:val="32"/>
          <w:highlight w:val="none"/>
          <w:lang w:val="en-US" w:eastAsia="zh-CN"/>
        </w:rPr>
        <w:t>年，“十四五”期间全区煤炭产业总产</w:t>
      </w:r>
      <w:r>
        <w:rPr>
          <w:rFonts w:hint="eastAsia" w:ascii="Times New Roman" w:hAnsi="Times New Roman" w:eastAsia="仿宋_GB2312" w:cs="Times New Roman"/>
          <w:b w:val="0"/>
          <w:bCs w:val="0"/>
          <w:spacing w:val="6"/>
          <w:kern w:val="0"/>
          <w:sz w:val="32"/>
          <w:szCs w:val="32"/>
          <w:highlight w:val="none"/>
          <w:lang w:val="en-US" w:eastAsia="zh-CN" w:bidi="ar"/>
        </w:rPr>
        <w:t>值实现17.4亿元，上缴税金2.7亿元，新增就业岗位762个。能源供给能力稳步提升，国能双鸭山发电有限公司总装机容量实现120万千瓦，年均发电量突破40亿千瓦时。新能源产业高质量跃升，锅盔山风力发电能力实现0.83亿千瓦时，国能总装机容量18兆瓦光伏项目并网发电，8万千瓦光伏复合发电项目</w:t>
      </w:r>
      <w:r>
        <w:rPr>
          <w:rFonts w:hint="eastAsia" w:ascii="仿宋_GB2312" w:hAnsi="仿宋_GB2312" w:eastAsia="仿宋_GB2312" w:cs="仿宋_GB2312"/>
          <w:spacing w:val="7"/>
          <w:sz w:val="32"/>
          <w:szCs w:val="32"/>
          <w:highlight w:val="none"/>
          <w:lang w:val="en-US" w:eastAsia="zh-CN"/>
        </w:rPr>
        <w:t>正式启动，“煤电+风电+光伏”发电融合发展体系基本形成。主动承接全省“</w:t>
      </w:r>
      <w:r>
        <w:rPr>
          <w:rFonts w:hint="eastAsia" w:ascii="Times New Roman" w:hAnsi="Times New Roman" w:eastAsia="仿宋_GB2312" w:cs="Times New Roman"/>
          <w:b w:val="0"/>
          <w:bCs w:val="0"/>
          <w:spacing w:val="6"/>
          <w:kern w:val="0"/>
          <w:sz w:val="32"/>
          <w:szCs w:val="32"/>
          <w:highlight w:val="none"/>
          <w:lang w:val="en-US" w:eastAsia="zh-CN" w:bidi="ar"/>
        </w:rPr>
        <w:t>4567</w:t>
      </w:r>
      <w:r>
        <w:rPr>
          <w:rFonts w:hint="eastAsia" w:ascii="仿宋_GB2312" w:hAnsi="仿宋_GB2312" w:eastAsia="仿宋_GB2312" w:cs="仿宋_GB2312"/>
          <w:spacing w:val="7"/>
          <w:sz w:val="32"/>
          <w:szCs w:val="32"/>
          <w:highlight w:val="none"/>
          <w:lang w:val="en-US" w:eastAsia="zh-CN"/>
        </w:rPr>
        <w:t>”现代产业体系战略部署，充分挖掘和发挥宝山资源优势，大力发展战略性新兴产业，积极推进新材料产业发展。依托石墨资源，延伸“资源—加工—应用”一体化产业链布局，年产</w:t>
      </w:r>
      <w:r>
        <w:rPr>
          <w:rFonts w:hint="eastAsia" w:ascii="Times New Roman" w:hAnsi="Times New Roman" w:eastAsia="仿宋_GB2312" w:cs="Times New Roman"/>
          <w:b w:val="0"/>
          <w:bCs w:val="0"/>
          <w:spacing w:val="6"/>
          <w:kern w:val="0"/>
          <w:sz w:val="32"/>
          <w:szCs w:val="32"/>
          <w:highlight w:val="none"/>
          <w:lang w:val="en-US" w:eastAsia="zh-CN" w:bidi="ar"/>
        </w:rPr>
        <w:t>10万吨天然石墨、5万吨人造石墨负极材料项目基本建成。高新技术企业引领，科技型中小企业支撑。双兴科技</w:t>
      </w:r>
      <w:r>
        <w:rPr>
          <w:rFonts w:hint="eastAsia" w:ascii="仿宋_GB2312" w:hAnsi="仿宋_GB2312" w:eastAsia="仿宋_GB2312" w:cs="仿宋_GB2312"/>
          <w:spacing w:val="7"/>
          <w:sz w:val="32"/>
          <w:szCs w:val="32"/>
          <w:highlight w:val="none"/>
          <w:lang w:val="en-US" w:eastAsia="zh-CN"/>
        </w:rPr>
        <w:t>认定为国家高新技术企业，双兴科技、方直机械认定为科技型中小企业。“十四五”期间，全区规模以上工业企</w:t>
      </w:r>
      <w:r>
        <w:rPr>
          <w:rFonts w:hint="eastAsia" w:ascii="Times New Roman" w:hAnsi="Times New Roman" w:eastAsia="仿宋_GB2312" w:cs="Times New Roman"/>
          <w:b w:val="0"/>
          <w:bCs w:val="0"/>
          <w:spacing w:val="6"/>
          <w:kern w:val="0"/>
          <w:sz w:val="32"/>
          <w:szCs w:val="32"/>
          <w:highlight w:val="none"/>
          <w:lang w:val="en-US" w:eastAsia="zh-CN" w:bidi="ar"/>
        </w:rPr>
        <w:t>业达到6户，科技成果转化1项，规上工业主营业务收入累计突破20.95</w:t>
      </w:r>
      <w:r>
        <w:rPr>
          <w:rFonts w:hint="eastAsia" w:ascii="仿宋_GB2312" w:hAnsi="仿宋_GB2312" w:eastAsia="仿宋_GB2312" w:cs="仿宋_GB2312"/>
          <w:spacing w:val="7"/>
          <w:sz w:val="32"/>
          <w:szCs w:val="32"/>
          <w:highlight w:val="none"/>
          <w:lang w:val="en-US" w:eastAsia="zh-CN"/>
        </w:rPr>
        <w:t>亿元。</w:t>
      </w:r>
    </w:p>
    <w:p w14:paraId="14B4DE5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Times New Roman" w:hAnsi="Times New Roman" w:eastAsia="仿宋_GB2312" w:cs="Times New Roman"/>
          <w:b w:val="0"/>
          <w:bCs w:val="0"/>
          <w:spacing w:val="6"/>
          <w:kern w:val="0"/>
          <w:sz w:val="32"/>
          <w:szCs w:val="32"/>
          <w:highlight w:val="none"/>
          <w:lang w:val="en-US" w:eastAsia="zh-CN" w:bidi="ar"/>
        </w:rPr>
      </w:pPr>
      <w:r>
        <w:rPr>
          <w:rFonts w:hint="eastAsia" w:ascii="仿宋_GB2312" w:hAnsi="仿宋_GB2312" w:eastAsia="仿宋_GB2312" w:cs="仿宋_GB2312"/>
          <w:b/>
          <w:bCs/>
          <w:spacing w:val="7"/>
          <w:sz w:val="32"/>
          <w:szCs w:val="32"/>
          <w:highlight w:val="none"/>
          <w:lang w:val="en-US" w:eastAsia="zh-CN"/>
        </w:rPr>
        <w:t>服务业扩能提质。</w:t>
      </w:r>
      <w:r>
        <w:rPr>
          <w:rFonts w:hint="eastAsia" w:ascii="仿宋_GB2312" w:hAnsi="仿宋_GB2312" w:eastAsia="仿宋_GB2312" w:cs="仿宋_GB2312"/>
          <w:spacing w:val="7"/>
          <w:sz w:val="32"/>
          <w:szCs w:val="32"/>
          <w:highlight w:val="none"/>
          <w:lang w:val="en-US" w:eastAsia="zh-CN"/>
        </w:rPr>
        <w:t>城乡市场繁荣稳定，商贸流通体系建设不断加强。“十四五”期间，全区社会消费品零售总额年均</w:t>
      </w:r>
      <w:r>
        <w:rPr>
          <w:rFonts w:hint="eastAsia" w:ascii="Times New Roman" w:hAnsi="Times New Roman" w:eastAsia="仿宋_GB2312" w:cs="Times New Roman"/>
          <w:b w:val="0"/>
          <w:bCs w:val="0"/>
          <w:spacing w:val="6"/>
          <w:kern w:val="0"/>
          <w:sz w:val="32"/>
          <w:szCs w:val="32"/>
          <w:highlight w:val="none"/>
          <w:lang w:val="en-US" w:eastAsia="zh-CN" w:bidi="ar"/>
        </w:rPr>
        <w:t>增长1.45%，批发和零售业年均增速达到7.9%，流通主体持续壮大。市场主体培育成效显著，全区限上法人</w:t>
      </w:r>
      <w:r>
        <w:rPr>
          <w:rFonts w:hint="eastAsia" w:ascii="仿宋_GB2312" w:hAnsi="仿宋_GB2312" w:eastAsia="仿宋_GB2312" w:cs="仿宋_GB2312"/>
          <w:spacing w:val="7"/>
          <w:sz w:val="32"/>
          <w:szCs w:val="32"/>
          <w:highlight w:val="none"/>
          <w:lang w:val="en-US" w:eastAsia="zh-CN"/>
        </w:rPr>
        <w:t>总量较“十四五”时期，同</w:t>
      </w:r>
      <w:r>
        <w:rPr>
          <w:rFonts w:hint="eastAsia" w:ascii="Times New Roman" w:hAnsi="Times New Roman" w:eastAsia="仿宋_GB2312" w:cs="Times New Roman"/>
          <w:b w:val="0"/>
          <w:bCs w:val="0"/>
          <w:spacing w:val="6"/>
          <w:kern w:val="0"/>
          <w:sz w:val="32"/>
          <w:szCs w:val="32"/>
          <w:highlight w:val="none"/>
          <w:lang w:val="en-US" w:eastAsia="zh-CN" w:bidi="ar"/>
        </w:rPr>
        <w:t>比增长29%。市场体系不断完善，积极参与促消费活动，有效拉动</w:t>
      </w:r>
      <w:r>
        <w:rPr>
          <w:rFonts w:hint="eastAsia" w:ascii="仿宋_GB2312" w:hAnsi="仿宋_GB2312" w:eastAsia="仿宋_GB2312" w:cs="仿宋_GB2312"/>
          <w:spacing w:val="7"/>
          <w:sz w:val="32"/>
          <w:szCs w:val="32"/>
          <w:highlight w:val="none"/>
          <w:lang w:val="en-US" w:eastAsia="zh-CN"/>
        </w:rPr>
        <w:t>区内消费。商业网点布局优化，便利店、便民市场等设施不断完善，成品油零售体系稳定运行，市场监测体系有效运转，全力保障了全区生活必需品市场稳定供应。开放型经济水平显著提高。外贸主体稳步壮大，全区外贸进出口总额较“十四五”时</w:t>
      </w:r>
      <w:r>
        <w:rPr>
          <w:rFonts w:hint="eastAsia" w:ascii="Times New Roman" w:hAnsi="Times New Roman" w:eastAsia="仿宋_GB2312" w:cs="Times New Roman"/>
          <w:b w:val="0"/>
          <w:bCs w:val="0"/>
          <w:spacing w:val="6"/>
          <w:kern w:val="0"/>
          <w:sz w:val="32"/>
          <w:szCs w:val="32"/>
          <w:highlight w:val="none"/>
          <w:lang w:val="en-US" w:eastAsia="zh-CN" w:bidi="ar"/>
        </w:rPr>
        <w:t>期增长126%，进出口企业从2020年的1家增加到2025年的6家，外贸进出口总值累计实现1057万元。</w:t>
      </w:r>
      <w:r>
        <w:rPr>
          <w:rFonts w:hint="eastAsia" w:ascii="仿宋_GB2312" w:hAnsi="仿宋_GB2312" w:eastAsia="仿宋_GB2312" w:cs="仿宋_GB2312"/>
          <w:spacing w:val="7"/>
          <w:sz w:val="32"/>
          <w:szCs w:val="32"/>
          <w:highlight w:val="none"/>
          <w:lang w:val="en-US" w:eastAsia="zh-CN"/>
        </w:rPr>
        <w:t>招商引资体系基本建立，组建专业招商小分队，编制“三单一书”，深入开展敲门招商、产业链招商、以商招商等，区域招商引资竞争力和吸引力持续增强，实际利用省外资金年均增长率</w:t>
      </w:r>
      <w:r>
        <w:rPr>
          <w:rFonts w:hint="eastAsia" w:ascii="Times New Roman" w:hAnsi="Times New Roman" w:eastAsia="仿宋_GB2312" w:cs="Times New Roman"/>
          <w:b w:val="0"/>
          <w:bCs w:val="0"/>
          <w:spacing w:val="6"/>
          <w:kern w:val="0"/>
          <w:sz w:val="32"/>
          <w:szCs w:val="32"/>
          <w:highlight w:val="none"/>
          <w:lang w:val="en-US" w:eastAsia="zh-CN" w:bidi="ar"/>
        </w:rPr>
        <w:t>7%，实现了规模和质量的全面提升。</w:t>
      </w:r>
    </w:p>
    <w:p w14:paraId="085A479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Times New Roman" w:hAnsi="Times New Roman" w:eastAsia="仿宋_GB2312" w:cs="Times New Roman"/>
          <w:b w:val="0"/>
          <w:bCs w:val="0"/>
          <w:spacing w:val="6"/>
          <w:kern w:val="0"/>
          <w:sz w:val="32"/>
          <w:szCs w:val="32"/>
          <w:highlight w:val="none"/>
          <w:lang w:val="en-US" w:eastAsia="zh-CN" w:bidi="ar"/>
        </w:rPr>
      </w:pPr>
      <w:r>
        <w:rPr>
          <w:rFonts w:hint="eastAsia" w:ascii="仿宋_GB2312" w:hAnsi="仿宋_GB2312" w:eastAsia="仿宋_GB2312" w:cs="仿宋_GB2312"/>
          <w:b/>
          <w:bCs/>
          <w:spacing w:val="7"/>
          <w:sz w:val="32"/>
          <w:szCs w:val="32"/>
          <w:highlight w:val="none"/>
          <w:lang w:val="en-US" w:eastAsia="zh-CN"/>
        </w:rPr>
        <w:t>区域融合走深走实。</w:t>
      </w:r>
      <w:r>
        <w:rPr>
          <w:rFonts w:hint="eastAsia" w:ascii="仿宋_GB2312" w:hAnsi="仿宋_GB2312" w:eastAsia="仿宋_GB2312" w:cs="仿宋_GB2312"/>
          <w:spacing w:val="7"/>
          <w:sz w:val="32"/>
          <w:szCs w:val="32"/>
          <w:highlight w:val="none"/>
          <w:lang w:val="en-US" w:eastAsia="zh-CN"/>
        </w:rPr>
        <w:t>统筹区、农、电、矿、林“五位一体”的地方经济相互融合，持续加强合作、扩大合作、深化合作，打造地企协作良性互动、同频共振的工作局面。与双鸭山农场开展垦地合作，累计土</w:t>
      </w:r>
      <w:r>
        <w:rPr>
          <w:rFonts w:hint="eastAsia" w:ascii="Times New Roman" w:hAnsi="Times New Roman" w:eastAsia="仿宋_GB2312" w:cs="Times New Roman"/>
          <w:b w:val="0"/>
          <w:bCs w:val="0"/>
          <w:spacing w:val="6"/>
          <w:kern w:val="0"/>
          <w:sz w:val="32"/>
          <w:szCs w:val="32"/>
          <w:highlight w:val="none"/>
          <w:lang w:val="en-US" w:eastAsia="zh-CN" w:bidi="ar"/>
        </w:rPr>
        <w:t>地环节托管服务0.5</w:t>
      </w:r>
      <w:r>
        <w:rPr>
          <w:rFonts w:hint="eastAsia" w:ascii="仿宋_GB2312" w:hAnsi="仿宋_GB2312" w:eastAsia="仿宋_GB2312" w:cs="仿宋_GB2312"/>
          <w:spacing w:val="7"/>
          <w:sz w:val="32"/>
          <w:szCs w:val="32"/>
          <w:highlight w:val="none"/>
          <w:lang w:val="en-US" w:eastAsia="zh-CN"/>
        </w:rPr>
        <w:t>万亩、技术托管7万亩，农业生产效率与收益双提升。通过资源整合开发，谋划引进重点产业项目，利用光伏用地发展北药种植的“农光互补”项目，电厂长距离供热、粉煤灰综合利用等项目对接洽谈取得实质性进展。推进“治污+复绿+利用”一体化工程，联合开展采沉区复垦、矿山修复项目，对新安煤矿等进行系统性修复，完成复垦土地</w:t>
      </w:r>
      <w:r>
        <w:rPr>
          <w:rFonts w:hint="eastAsia" w:ascii="Times New Roman" w:hAnsi="Times New Roman" w:eastAsia="仿宋_GB2312" w:cs="Times New Roman"/>
          <w:b w:val="0"/>
          <w:bCs w:val="0"/>
          <w:spacing w:val="6"/>
          <w:kern w:val="0"/>
          <w:sz w:val="32"/>
          <w:szCs w:val="32"/>
          <w:highlight w:val="none"/>
          <w:lang w:val="en-US" w:eastAsia="zh-CN" w:bidi="ar"/>
        </w:rPr>
        <w:t>133公顷，消纳煤矸石280万立方米</w:t>
      </w:r>
      <w:r>
        <w:rPr>
          <w:rFonts w:hint="eastAsia" w:ascii="仿宋_GB2312" w:hAnsi="仿宋_GB2312" w:eastAsia="仿宋_GB2312" w:cs="仿宋_GB2312"/>
          <w:spacing w:val="7"/>
          <w:sz w:val="32"/>
          <w:szCs w:val="32"/>
          <w:highlight w:val="none"/>
          <w:lang w:val="en-US" w:eastAsia="zh-CN"/>
        </w:rPr>
        <w:t>，推动矿区从“黑色开采”向“绿色转型”跨越。深挖森林资源潜力，发展林菌、林药、林禽、林蜂等林下经济，推广宝山中心林场刺五加代茶饮、木耳等林下产品，累计销</w:t>
      </w:r>
      <w:r>
        <w:rPr>
          <w:rFonts w:hint="eastAsia" w:ascii="Times New Roman" w:hAnsi="Times New Roman" w:eastAsia="仿宋_GB2312" w:cs="Times New Roman"/>
          <w:b w:val="0"/>
          <w:bCs w:val="0"/>
          <w:spacing w:val="6"/>
          <w:kern w:val="0"/>
          <w:sz w:val="32"/>
          <w:szCs w:val="32"/>
          <w:highlight w:val="none"/>
          <w:lang w:val="en-US" w:eastAsia="zh-CN" w:bidi="ar"/>
        </w:rPr>
        <w:t>售1948万余元，林下经济产值3150万元，让生态资源转化为经济优势。</w:t>
      </w:r>
    </w:p>
    <w:p w14:paraId="204F85F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深化改革纵深推进。</w:t>
      </w:r>
      <w:r>
        <w:rPr>
          <w:rFonts w:hint="eastAsia" w:ascii="仿宋_GB2312" w:hAnsi="仿宋_GB2312" w:eastAsia="仿宋_GB2312" w:cs="仿宋_GB2312"/>
          <w:spacing w:val="7"/>
          <w:sz w:val="32"/>
          <w:szCs w:val="32"/>
          <w:highlight w:val="none"/>
          <w:lang w:val="en-US" w:eastAsia="zh-CN"/>
        </w:rPr>
        <w:t>聚焦改革关键，突出任务重点，构建区委书记抓全盘、处级领导领衔抓推进、牵头单位具体抓落实的工作机制，全面承接中央和省市委改革任务，安排部署经济、农业</w:t>
      </w:r>
      <w:r>
        <w:rPr>
          <w:rFonts w:hint="eastAsia" w:ascii="Times New Roman" w:hAnsi="Times New Roman" w:eastAsia="仿宋_GB2312" w:cs="Times New Roman"/>
          <w:b w:val="0"/>
          <w:bCs w:val="0"/>
          <w:spacing w:val="6"/>
          <w:kern w:val="0"/>
          <w:sz w:val="32"/>
          <w:szCs w:val="32"/>
          <w:highlight w:val="none"/>
          <w:lang w:val="en-US" w:eastAsia="zh-CN" w:bidi="ar"/>
        </w:rPr>
        <w:t>、科教等8个领域、26个方面重点改革任务83项。深化教育领域改革，将10所学校合并成5所。</w:t>
      </w:r>
      <w:r>
        <w:rPr>
          <w:rFonts w:hint="eastAsia" w:ascii="仿宋_GB2312" w:hAnsi="仿宋_GB2312" w:eastAsia="仿宋_GB2312" w:cs="仿宋_GB2312"/>
          <w:spacing w:val="7"/>
          <w:sz w:val="32"/>
          <w:szCs w:val="32"/>
          <w:highlight w:val="none"/>
          <w:lang w:val="en-US" w:eastAsia="zh-CN"/>
        </w:rPr>
        <w:t>稳妥完成党政机构改革，社会工作、数据管理等机构职能持续优化，新组建部门全部完成挂牌和人员转隶工作。“五色一彩”服务队、“五心”党建、“六微”工作法、“红色新安”党建联盟等基层实践创新，提升了基层治理精细化水平。创新打造医保“六进”工作举措，列为全市改革试点。大力推动政务服务标准化、规范化、便利化建设，政务服</w:t>
      </w:r>
      <w:r>
        <w:rPr>
          <w:rFonts w:hint="eastAsia" w:ascii="Times New Roman" w:hAnsi="Times New Roman" w:eastAsia="仿宋_GB2312" w:cs="Times New Roman"/>
          <w:b w:val="0"/>
          <w:bCs w:val="0"/>
          <w:spacing w:val="6"/>
          <w:kern w:val="0"/>
          <w:sz w:val="32"/>
          <w:szCs w:val="32"/>
          <w:highlight w:val="none"/>
          <w:lang w:val="en-US" w:eastAsia="zh-CN" w:bidi="ar"/>
        </w:rPr>
        <w:t>务事项696项全部进驻政务服务大厅，388项事项实现省内通办，政务服务热线共受理工单1063件，全部</w:t>
      </w:r>
      <w:r>
        <w:rPr>
          <w:rFonts w:hint="eastAsia" w:ascii="仿宋_GB2312" w:hAnsi="仿宋_GB2312" w:eastAsia="仿宋_GB2312" w:cs="仿宋_GB2312"/>
          <w:spacing w:val="7"/>
          <w:sz w:val="32"/>
          <w:szCs w:val="32"/>
          <w:highlight w:val="none"/>
          <w:lang w:val="en-US" w:eastAsia="zh-CN"/>
        </w:rPr>
        <w:t>按时办结。</w:t>
      </w:r>
    </w:p>
    <w:p w14:paraId="01BF20A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社会事业协调发展。</w:t>
      </w:r>
      <w:r>
        <w:rPr>
          <w:rFonts w:hint="eastAsia" w:ascii="仿宋_GB2312" w:hAnsi="仿宋_GB2312" w:eastAsia="仿宋_GB2312" w:cs="仿宋_GB2312"/>
          <w:spacing w:val="7"/>
          <w:sz w:val="32"/>
          <w:szCs w:val="32"/>
          <w:highlight w:val="none"/>
          <w:lang w:val="en-US" w:eastAsia="zh-CN"/>
        </w:rPr>
        <w:t>教体事业蓬勃发展。五年来，学校及公办幼儿园硬件升级、购置设备，篮球场、足球场和广场等教育体育基础设施建设等方面共</w:t>
      </w:r>
      <w:r>
        <w:rPr>
          <w:rFonts w:hint="eastAsia" w:ascii="Times New Roman" w:hAnsi="Times New Roman" w:eastAsia="仿宋_GB2312" w:cs="Times New Roman"/>
          <w:b w:val="0"/>
          <w:bCs w:val="0"/>
          <w:spacing w:val="6"/>
          <w:kern w:val="0"/>
          <w:sz w:val="32"/>
          <w:szCs w:val="32"/>
          <w:highlight w:val="none"/>
          <w:lang w:val="en-US" w:eastAsia="zh-CN" w:bidi="ar"/>
        </w:rPr>
        <w:t>投入1800余万元。</w:t>
      </w:r>
      <w:r>
        <w:rPr>
          <w:rFonts w:hint="eastAsia" w:ascii="仿宋_GB2312" w:hAnsi="仿宋_GB2312" w:eastAsia="仿宋_GB2312" w:cs="仿宋_GB2312"/>
          <w:spacing w:val="7"/>
          <w:sz w:val="32"/>
          <w:szCs w:val="32"/>
          <w:highlight w:val="none"/>
          <w:lang w:val="en-US" w:eastAsia="zh-CN"/>
        </w:rPr>
        <w:t>完善公共卫生体系。推动医疗机构日常诊疗等活动，创新医疗服务方式。全面深化医药卫生综合体制改革，建立基本卫生服务制度，完善公共卫生体系，实行分级诊疗，对低保、残疾等群体免收诊查费，减轻困难群众就诊负担。建</w:t>
      </w:r>
      <w:r>
        <w:rPr>
          <w:rFonts w:hint="eastAsia" w:ascii="Times New Roman" w:hAnsi="Times New Roman" w:eastAsia="仿宋_GB2312" w:cs="Times New Roman"/>
          <w:b w:val="0"/>
          <w:bCs w:val="0"/>
          <w:spacing w:val="6"/>
          <w:kern w:val="0"/>
          <w:sz w:val="32"/>
          <w:szCs w:val="32"/>
          <w:highlight w:val="none"/>
          <w:lang w:val="en-US" w:eastAsia="zh-CN" w:bidi="ar"/>
        </w:rPr>
        <w:t>成120急救宝山分站</w:t>
      </w:r>
      <w:r>
        <w:rPr>
          <w:rFonts w:hint="eastAsia" w:ascii="仿宋_GB2312" w:hAnsi="仿宋_GB2312" w:eastAsia="仿宋_GB2312" w:cs="仿宋_GB2312"/>
          <w:spacing w:val="7"/>
          <w:sz w:val="32"/>
          <w:szCs w:val="32"/>
          <w:highlight w:val="none"/>
          <w:lang w:val="en-US" w:eastAsia="zh-CN"/>
        </w:rPr>
        <w:t>。完善救助体系，创新救助方式，建立健全以城乡低保、特困人员救助供养为基础，以临时救助为补充，以医疗救助、教育救助、住房救助等专项救助相配套，以社会力量参与为辅助的分层分类社会救助体系，“十四五”期间，累计发放各类社会救助资金</w:t>
      </w:r>
      <w:r>
        <w:rPr>
          <w:rFonts w:hint="eastAsia" w:ascii="Times New Roman" w:hAnsi="Times New Roman" w:eastAsia="仿宋_GB2312" w:cs="Times New Roman"/>
          <w:b w:val="0"/>
          <w:bCs w:val="0"/>
          <w:spacing w:val="6"/>
          <w:kern w:val="0"/>
          <w:sz w:val="32"/>
          <w:szCs w:val="32"/>
          <w:highlight w:val="none"/>
          <w:lang w:val="en-US" w:eastAsia="zh-CN" w:bidi="ar"/>
        </w:rPr>
        <w:t>2.5亿</w:t>
      </w:r>
      <w:r>
        <w:rPr>
          <w:rFonts w:hint="eastAsia" w:ascii="仿宋_GB2312" w:hAnsi="仿宋_GB2312" w:eastAsia="仿宋_GB2312" w:cs="仿宋_GB2312"/>
          <w:spacing w:val="7"/>
          <w:sz w:val="32"/>
          <w:szCs w:val="32"/>
          <w:highlight w:val="none"/>
          <w:lang w:val="en-US" w:eastAsia="zh-CN"/>
        </w:rPr>
        <w:t>元。完善养老服务中心建设。完成仁和广场居家和社区养老服务中心及新安街道东平社区舒心助老驿站建设。构建老年友好型社区，联合社区居委会、志愿者，实施“挂图作战”，根据社区老年人住址分布、家庭状况，精准开展服务保障民生，深化基层治理。设立“嵌入式”助老餐厅，聚力解决老人“一餐热饭”，累计用餐人数</w:t>
      </w:r>
      <w:r>
        <w:rPr>
          <w:rFonts w:hint="eastAsia" w:ascii="Times New Roman" w:hAnsi="Times New Roman" w:eastAsia="仿宋_GB2312" w:cs="Times New Roman"/>
          <w:b w:val="0"/>
          <w:bCs w:val="0"/>
          <w:spacing w:val="6"/>
          <w:kern w:val="0"/>
          <w:sz w:val="32"/>
          <w:szCs w:val="32"/>
          <w:highlight w:val="none"/>
          <w:lang w:val="en-US" w:eastAsia="zh-CN" w:bidi="ar"/>
        </w:rPr>
        <w:t>达6万余人</w:t>
      </w:r>
      <w:r>
        <w:rPr>
          <w:rFonts w:hint="eastAsia" w:ascii="仿宋_GB2312" w:hAnsi="仿宋_GB2312" w:eastAsia="仿宋_GB2312" w:cs="仿宋_GB2312"/>
          <w:spacing w:val="7"/>
          <w:sz w:val="32"/>
          <w:szCs w:val="32"/>
          <w:highlight w:val="none"/>
          <w:lang w:val="en-US" w:eastAsia="zh-CN"/>
        </w:rPr>
        <w:t>次。搭建“为老便民社会化服务网络”平台，拓展“</w:t>
      </w:r>
      <w:r>
        <w:rPr>
          <w:rFonts w:hint="eastAsia" w:ascii="Times New Roman" w:hAnsi="Times New Roman" w:eastAsia="仿宋_GB2312" w:cs="Times New Roman"/>
          <w:b w:val="0"/>
          <w:bCs w:val="0"/>
          <w:spacing w:val="6"/>
          <w:kern w:val="0"/>
          <w:sz w:val="32"/>
          <w:szCs w:val="32"/>
          <w:highlight w:val="none"/>
          <w:lang w:val="en-US" w:eastAsia="zh-CN" w:bidi="ar"/>
        </w:rPr>
        <w:t>2+6+2</w:t>
      </w:r>
      <w:r>
        <w:rPr>
          <w:rFonts w:hint="eastAsia" w:ascii="仿宋_GB2312" w:hAnsi="仿宋_GB2312" w:eastAsia="仿宋_GB2312" w:cs="仿宋_GB2312"/>
          <w:spacing w:val="7"/>
          <w:sz w:val="32"/>
          <w:szCs w:val="32"/>
          <w:highlight w:val="none"/>
          <w:lang w:val="en-US" w:eastAsia="zh-CN"/>
        </w:rPr>
        <w:t>”“六助”服务，为老年人提供助餐、助浴、助洁、助购、助办、助医“六助服务”</w:t>
      </w:r>
      <w:r>
        <w:rPr>
          <w:rFonts w:hint="eastAsia" w:ascii="Times New Roman" w:hAnsi="Times New Roman" w:eastAsia="仿宋_GB2312" w:cs="Times New Roman"/>
          <w:b w:val="0"/>
          <w:bCs w:val="0"/>
          <w:spacing w:val="6"/>
          <w:kern w:val="0"/>
          <w:sz w:val="32"/>
          <w:szCs w:val="32"/>
          <w:highlight w:val="none"/>
          <w:lang w:val="en-US" w:eastAsia="zh-CN" w:bidi="ar"/>
        </w:rPr>
        <w:t>3000余次。建立全区60周岁以</w:t>
      </w:r>
      <w:r>
        <w:rPr>
          <w:rFonts w:hint="eastAsia" w:ascii="仿宋_GB2312" w:hAnsi="仿宋_GB2312" w:eastAsia="仿宋_GB2312" w:cs="仿宋_GB2312"/>
          <w:spacing w:val="7"/>
          <w:sz w:val="32"/>
          <w:szCs w:val="32"/>
          <w:highlight w:val="none"/>
          <w:lang w:val="en-US" w:eastAsia="zh-CN"/>
        </w:rPr>
        <w:t>上老年人“一人一档”信息档案，形成“街道－社区－志愿者－民政服务站”精准对接服务模式。加强孤儿和事实无人抚养儿童保障工作，建立健全孤儿和事实无人抚养儿童基本生活保障标准动态调整机制，提高保障水平，落实困难残疾人生活补贴和重度残疾人护理补贴制度，建立补贴标准动态调整机制，提高补贴水平。“十四五”期间，累计发放儿童保障金</w:t>
      </w:r>
      <w:r>
        <w:rPr>
          <w:rFonts w:hint="eastAsia" w:ascii="Times New Roman" w:hAnsi="Times New Roman" w:eastAsia="仿宋_GB2312" w:cs="Times New Roman"/>
          <w:b w:val="0"/>
          <w:bCs w:val="0"/>
          <w:spacing w:val="6"/>
          <w:kern w:val="0"/>
          <w:sz w:val="32"/>
          <w:szCs w:val="32"/>
          <w:highlight w:val="none"/>
          <w:lang w:val="en-US" w:eastAsia="zh-CN" w:bidi="ar"/>
        </w:rPr>
        <w:t>259万元，发放残疾人补贴2391万元。加强行政区划管理，对区内109个地名标志进行排查登记。整合资源，推动文旅深度融合，全区四级公共文化服务场所总量达到26个，免费开放率达到100%。33项文化事业审批业务进驻政务大厅，网办率100%。文化惠民工程深入推</w:t>
      </w:r>
      <w:r>
        <w:rPr>
          <w:rFonts w:hint="eastAsia" w:ascii="仿宋_GB2312" w:hAnsi="仿宋_GB2312" w:eastAsia="仿宋_GB2312" w:cs="仿宋_GB2312"/>
          <w:spacing w:val="7"/>
          <w:sz w:val="32"/>
          <w:szCs w:val="32"/>
          <w:highlight w:val="none"/>
          <w:lang w:val="en-US" w:eastAsia="zh-CN"/>
        </w:rPr>
        <w:t>进，累计开展“庆七一”“迎国庆”等线上</w:t>
      </w:r>
      <w:r>
        <w:rPr>
          <w:rFonts w:hint="eastAsia" w:ascii="Times New Roman" w:hAnsi="Times New Roman" w:eastAsia="仿宋_GB2312" w:cs="Times New Roman"/>
          <w:b w:val="0"/>
          <w:bCs w:val="0"/>
          <w:spacing w:val="6"/>
          <w:kern w:val="0"/>
          <w:sz w:val="32"/>
          <w:szCs w:val="32"/>
          <w:highlight w:val="none"/>
          <w:lang w:val="en-US" w:eastAsia="zh-CN" w:bidi="ar"/>
        </w:rPr>
        <w:t>线下主题活动超200</w:t>
      </w:r>
      <w:r>
        <w:rPr>
          <w:rFonts w:hint="eastAsia" w:ascii="仿宋_GB2312" w:hAnsi="仿宋_GB2312" w:eastAsia="仿宋_GB2312" w:cs="仿宋_GB2312"/>
          <w:spacing w:val="7"/>
          <w:sz w:val="32"/>
          <w:szCs w:val="32"/>
          <w:highlight w:val="none"/>
          <w:lang w:val="en-US" w:eastAsia="zh-CN"/>
        </w:rPr>
        <w:t>场次。“十四五”期间，全区申报省级非遗项目3个、3名省级传承人得到认定。邀请乌法国立艺术学院开展中俄文化交流活动，拓宽文化</w:t>
      </w:r>
      <w:r>
        <w:rPr>
          <w:rFonts w:hint="eastAsia" w:ascii="Times New Roman" w:hAnsi="Times New Roman" w:eastAsia="仿宋_GB2312" w:cs="Times New Roman"/>
          <w:b w:val="0"/>
          <w:bCs w:val="0"/>
          <w:spacing w:val="6"/>
          <w:kern w:val="0"/>
          <w:sz w:val="32"/>
          <w:szCs w:val="32"/>
          <w:highlight w:val="none"/>
          <w:lang w:val="en-US" w:eastAsia="zh-CN" w:bidi="ar"/>
        </w:rPr>
        <w:t>发展领域。完成67处不可移动文物核查。成功打造AAA级景区酿</w:t>
      </w:r>
      <w:r>
        <w:rPr>
          <w:rFonts w:hint="eastAsia" w:ascii="仿宋_GB2312" w:hAnsi="仿宋_GB2312" w:eastAsia="仿宋_GB2312" w:cs="仿宋_GB2312"/>
          <w:spacing w:val="7"/>
          <w:sz w:val="32"/>
          <w:szCs w:val="32"/>
          <w:highlight w:val="none"/>
          <w:lang w:val="en-US" w:eastAsia="zh-CN"/>
        </w:rPr>
        <w:t>清谷酒庄，省级乡村旅游示范点绿萍山庄，完成重点文旅产业项目温泉小镇备案及规划选址工作。举办雪地足球赛、秧歌汇演等活动，通过传统大集、电商直播等渠道打造“黑土年味”品牌，拉动文旅消费提档升级。千方百计扩大就业，就业服务体系不断健全。推动矿区富余职工转岗和城区失业工人安置，高效解决了双矿转岗职工安置，“十四五”期间，累计新增就业超</w:t>
      </w:r>
      <w:r>
        <w:rPr>
          <w:rFonts w:hint="eastAsia" w:ascii="Times New Roman" w:hAnsi="Times New Roman" w:eastAsia="仿宋_GB2312" w:cs="Times New Roman"/>
          <w:b w:val="0"/>
          <w:bCs w:val="0"/>
          <w:spacing w:val="6"/>
          <w:kern w:val="0"/>
          <w:sz w:val="32"/>
          <w:szCs w:val="32"/>
          <w:highlight w:val="none"/>
          <w:lang w:val="en-US" w:eastAsia="zh-CN" w:bidi="ar"/>
        </w:rPr>
        <w:t>过10000人，失业人员再就业超过12000人，就业困难人员就业超过3500人。深入推进全民参保计划，城乡居民社会保险参保率达到95%以上，医疗保险参保率达到98%。开展根治欠薪专项行动，累计处理欠薪投诉案件超过200件，解决欠薪金额超过500万元。全面推进退役军人服务保障体系建设，43个退役军人服务中心（站）投入使用，实现了区、镇、村三级服务网络全覆盖。辖区内参加省退役军人网上专场招聘周活动企业超百家，参加活动企业500余家，共发布招聘岗位超2000余个，</w:t>
      </w:r>
      <w:r>
        <w:rPr>
          <w:rFonts w:hint="eastAsia" w:ascii="仿宋_GB2312" w:hAnsi="仿宋_GB2312" w:eastAsia="仿宋_GB2312" w:cs="仿宋_GB2312"/>
          <w:spacing w:val="7"/>
          <w:sz w:val="32"/>
          <w:szCs w:val="32"/>
          <w:highlight w:val="none"/>
          <w:lang w:val="en-US" w:eastAsia="zh-CN"/>
        </w:rPr>
        <w:t>为退役军人带来超</w:t>
      </w:r>
      <w:r>
        <w:rPr>
          <w:rFonts w:hint="eastAsia" w:ascii="Times New Roman" w:hAnsi="Times New Roman" w:eastAsia="仿宋_GB2312" w:cs="Times New Roman"/>
          <w:b w:val="0"/>
          <w:bCs w:val="0"/>
          <w:spacing w:val="6"/>
          <w:kern w:val="0"/>
          <w:sz w:val="32"/>
          <w:szCs w:val="32"/>
          <w:highlight w:val="none"/>
          <w:lang w:val="en-US" w:eastAsia="zh-CN" w:bidi="ar"/>
        </w:rPr>
        <w:t>1000余</w:t>
      </w:r>
      <w:r>
        <w:rPr>
          <w:rFonts w:hint="eastAsia" w:ascii="仿宋_GB2312" w:hAnsi="仿宋_GB2312" w:eastAsia="仿宋_GB2312" w:cs="仿宋_GB2312"/>
          <w:spacing w:val="7"/>
          <w:sz w:val="32"/>
          <w:szCs w:val="32"/>
          <w:highlight w:val="none"/>
          <w:lang w:val="en-US" w:eastAsia="zh-CN"/>
        </w:rPr>
        <w:t>个优质岗位。“十四五”期间，全区民生支出占一般公共预算支出保持</w:t>
      </w:r>
      <w:r>
        <w:rPr>
          <w:rFonts w:hint="eastAsia" w:ascii="Times New Roman" w:hAnsi="Times New Roman" w:eastAsia="仿宋_GB2312" w:cs="Times New Roman"/>
          <w:b w:val="0"/>
          <w:bCs w:val="0"/>
          <w:spacing w:val="6"/>
          <w:kern w:val="0"/>
          <w:sz w:val="32"/>
          <w:szCs w:val="32"/>
          <w:highlight w:val="none"/>
          <w:lang w:val="en-US" w:eastAsia="zh-CN" w:bidi="ar"/>
        </w:rPr>
        <w:t>在80%以</w:t>
      </w:r>
      <w:r>
        <w:rPr>
          <w:rFonts w:hint="eastAsia" w:ascii="仿宋_GB2312" w:hAnsi="仿宋_GB2312" w:eastAsia="仿宋_GB2312" w:cs="仿宋_GB2312"/>
          <w:spacing w:val="7"/>
          <w:sz w:val="32"/>
          <w:szCs w:val="32"/>
          <w:highlight w:val="none"/>
          <w:lang w:val="en-US" w:eastAsia="zh-CN"/>
        </w:rPr>
        <w:t>上。</w:t>
      </w:r>
    </w:p>
    <w:p w14:paraId="39FC98B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城乡区域更加协调。</w:t>
      </w:r>
      <w:r>
        <w:rPr>
          <w:rFonts w:hint="eastAsia" w:ascii="仿宋_GB2312" w:hAnsi="仿宋_GB2312" w:eastAsia="仿宋_GB2312" w:cs="仿宋_GB2312"/>
          <w:spacing w:val="7"/>
          <w:sz w:val="32"/>
          <w:szCs w:val="32"/>
          <w:highlight w:val="none"/>
          <w:lang w:val="en-US" w:eastAsia="zh-CN"/>
        </w:rPr>
        <w:t>供水供热保障能力逐步提升，东保卫水源井改扩建、双鸭山农场污水处理厂提标改造、供热老旧管网改造、城镇二次供水设施改造、独立工矿区“三供一业”升级改造等工程项目全部完成并投入使用。银河大街污水、供水管网及路面、人行道、路灯改造和集当公路宝山段供水管网改迁项目，东保卫、双阳、新安、七星、电厂污水处理厂、矿区雨污分流改造、污水管网等项目全部竣工陆续投入使用。道路设施提升改造工程持续推进，完成银河大街、新宝大街维修养护工程，大叶沟至绿山所林下路，集当公路宝山段全线通车。改造更新银河大街、宝</w:t>
      </w:r>
      <w:r>
        <w:rPr>
          <w:rFonts w:hint="eastAsia" w:ascii="Times New Roman" w:hAnsi="Times New Roman" w:eastAsia="仿宋_GB2312" w:cs="Times New Roman"/>
          <w:b w:val="0"/>
          <w:bCs w:val="0"/>
          <w:spacing w:val="6"/>
          <w:kern w:val="0"/>
          <w:sz w:val="32"/>
          <w:szCs w:val="32"/>
          <w:highlight w:val="none"/>
          <w:lang w:val="en-US" w:eastAsia="zh-CN" w:bidi="ar"/>
        </w:rPr>
        <w:t>林路等24条背街巷道，6个行政村2.8万延长米村内道路全部硬化铺装。华新村、上游村和杨木岗村等4座桥梁改造工程全面完成。主城区北入口绿化景观，人民医院发热门诊工程项目竣工。新建了明山广场，五人制足球场等惠民工程，辖区6所小学完成薄改和集中改厕。开展房屋安全隐患排查整治，排查各类房屋36795栋。高质量完成房屋建筑和市政设施自然灾害风险普查工作和全区危房改造任务，累计排查房屋41462个、市政道路7条、供水设施28座、市政供水管网15条，全部通过省级核验。</w:t>
      </w:r>
    </w:p>
    <w:p w14:paraId="5D7D3C3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Times New Roman" w:hAnsi="Times New Roman" w:eastAsia="仿宋_GB2312" w:cs="Times New Roman"/>
          <w:b w:val="0"/>
          <w:bCs w:val="0"/>
          <w:spacing w:val="6"/>
          <w:kern w:val="0"/>
          <w:sz w:val="32"/>
          <w:szCs w:val="32"/>
          <w:highlight w:val="none"/>
          <w:lang w:val="en-US" w:eastAsia="zh-CN" w:bidi="ar"/>
        </w:rPr>
      </w:pPr>
      <w:r>
        <w:rPr>
          <w:rFonts w:hint="eastAsia" w:ascii="仿宋_GB2312" w:hAnsi="仿宋_GB2312" w:eastAsia="仿宋_GB2312" w:cs="仿宋_GB2312"/>
          <w:b/>
          <w:bCs/>
          <w:spacing w:val="7"/>
          <w:sz w:val="32"/>
          <w:szCs w:val="32"/>
          <w:highlight w:val="none"/>
          <w:lang w:val="en-US" w:eastAsia="zh-CN"/>
        </w:rPr>
        <w:t>生态质量持续改善。</w:t>
      </w:r>
      <w:r>
        <w:rPr>
          <w:rFonts w:hint="eastAsia" w:ascii="仿宋_GB2312" w:hAnsi="仿宋_GB2312" w:eastAsia="仿宋_GB2312" w:cs="仿宋_GB2312"/>
          <w:spacing w:val="7"/>
          <w:sz w:val="32"/>
          <w:szCs w:val="32"/>
          <w:highlight w:val="none"/>
          <w:lang w:val="en-US" w:eastAsia="zh-CN"/>
        </w:rPr>
        <w:t>坚持精准治污、科学治污、依法治污，持续改善生态环境质量，打好“蓝天保卫战”。淘汰燃煤锅</w:t>
      </w:r>
      <w:r>
        <w:rPr>
          <w:rFonts w:hint="eastAsia" w:ascii="Times New Roman" w:hAnsi="Times New Roman" w:eastAsia="仿宋_GB2312" w:cs="Times New Roman"/>
          <w:b w:val="0"/>
          <w:bCs w:val="0"/>
          <w:spacing w:val="6"/>
          <w:kern w:val="0"/>
          <w:sz w:val="32"/>
          <w:szCs w:val="32"/>
          <w:highlight w:val="none"/>
          <w:lang w:val="en-US" w:eastAsia="zh-CN" w:bidi="ar"/>
        </w:rPr>
        <w:t>炉11台，完成19家重</w:t>
      </w:r>
      <w:r>
        <w:rPr>
          <w:rFonts w:hint="eastAsia" w:ascii="仿宋_GB2312" w:hAnsi="仿宋_GB2312" w:eastAsia="仿宋_GB2312" w:cs="仿宋_GB2312"/>
          <w:spacing w:val="7"/>
          <w:sz w:val="32"/>
          <w:szCs w:val="32"/>
          <w:highlight w:val="none"/>
          <w:lang w:val="en-US" w:eastAsia="zh-CN"/>
        </w:rPr>
        <w:t>点企业重污染天气应急减排预案。全面完成各年度秸秆禁烧任务，“十四五”期间全区未发生重度及以上污染天气，空气质量优良天气天数比例</w:t>
      </w:r>
      <w:r>
        <w:rPr>
          <w:rFonts w:hint="eastAsia" w:ascii="Times New Roman" w:hAnsi="Times New Roman" w:eastAsia="仿宋_GB2312" w:cs="Times New Roman"/>
          <w:b w:val="0"/>
          <w:bCs w:val="0"/>
          <w:spacing w:val="6"/>
          <w:kern w:val="0"/>
          <w:sz w:val="32"/>
          <w:szCs w:val="32"/>
          <w:highlight w:val="none"/>
          <w:lang w:val="en-US" w:eastAsia="zh-CN" w:bidi="ar"/>
        </w:rPr>
        <w:t>达到95%以上</w:t>
      </w:r>
      <w:r>
        <w:rPr>
          <w:rFonts w:hint="eastAsia" w:ascii="仿宋_GB2312" w:hAnsi="仿宋_GB2312" w:eastAsia="仿宋_GB2312" w:cs="仿宋_GB2312"/>
          <w:spacing w:val="7"/>
          <w:sz w:val="32"/>
          <w:szCs w:val="32"/>
          <w:highlight w:val="none"/>
          <w:lang w:val="en-US" w:eastAsia="zh-CN"/>
        </w:rPr>
        <w:t>。打好“碧水保卫战”，完成双鸭山农场污水处理厂提标升级改造工程，推动完成五个独立矿区生活污水设施建设，持续开展入河排污口溯源排查整治工作。打好“净土保卫战”，推动农村生活污水治理，完成辖区</w:t>
      </w:r>
      <w:r>
        <w:rPr>
          <w:rFonts w:hint="eastAsia" w:ascii="Times New Roman" w:hAnsi="Times New Roman" w:eastAsia="仿宋_GB2312" w:cs="Times New Roman"/>
          <w:b w:val="0"/>
          <w:bCs w:val="0"/>
          <w:spacing w:val="6"/>
          <w:kern w:val="0"/>
          <w:sz w:val="32"/>
          <w:szCs w:val="32"/>
          <w:highlight w:val="none"/>
          <w:lang w:val="en-US" w:eastAsia="zh-CN" w:bidi="ar"/>
        </w:rPr>
        <w:t>6个行政村环境整治工作。完成申报40家医疗机构、9家涉危废企业、11家涉一般固体废物企业系统填报工作。持续对全区农村黑臭水体开展了排查及执法检查工作，建立专项执法检查台账和问题清单，整治期间行政处罚立案23件，</w:t>
      </w:r>
      <w:r>
        <w:rPr>
          <w:rFonts w:hint="eastAsia" w:ascii="仿宋_GB2312" w:hAnsi="仿宋_GB2312" w:eastAsia="仿宋_GB2312" w:cs="仿宋_GB2312"/>
          <w:spacing w:val="7"/>
          <w:sz w:val="32"/>
          <w:szCs w:val="32"/>
          <w:highlight w:val="none"/>
          <w:lang w:val="en-US" w:eastAsia="zh-CN"/>
        </w:rPr>
        <w:t>有效打击了生态环境领域违法行为。实施侵蚀沟治理工程</w:t>
      </w:r>
      <w:r>
        <w:rPr>
          <w:rFonts w:hint="eastAsia" w:ascii="Times New Roman" w:hAnsi="Times New Roman" w:eastAsia="仿宋_GB2312" w:cs="Times New Roman"/>
          <w:b w:val="0"/>
          <w:bCs w:val="0"/>
          <w:spacing w:val="6"/>
          <w:kern w:val="0"/>
          <w:sz w:val="32"/>
          <w:szCs w:val="32"/>
          <w:highlight w:val="none"/>
          <w:lang w:val="en-US" w:eastAsia="zh-CN" w:bidi="ar"/>
        </w:rPr>
        <w:t>17条。推动辖区23处历</w:t>
      </w:r>
      <w:r>
        <w:rPr>
          <w:rFonts w:hint="eastAsia" w:ascii="仿宋_GB2312" w:hAnsi="仿宋_GB2312" w:eastAsia="仿宋_GB2312" w:cs="仿宋_GB2312"/>
          <w:spacing w:val="7"/>
          <w:sz w:val="32"/>
          <w:szCs w:val="32"/>
          <w:highlight w:val="none"/>
          <w:lang w:val="en-US" w:eastAsia="zh-CN"/>
        </w:rPr>
        <w:t>史遗留矿山生态修复治理。“十四五”期间，</w:t>
      </w:r>
      <w:r>
        <w:rPr>
          <w:rFonts w:hint="eastAsia" w:ascii="Times New Roman" w:hAnsi="Times New Roman" w:eastAsia="仿宋_GB2312" w:cs="Times New Roman"/>
          <w:b w:val="0"/>
          <w:bCs w:val="0"/>
          <w:spacing w:val="6"/>
          <w:kern w:val="0"/>
          <w:sz w:val="32"/>
          <w:szCs w:val="32"/>
          <w:highlight w:val="none"/>
          <w:lang w:val="en-US" w:eastAsia="zh-CN" w:bidi="ar"/>
        </w:rPr>
        <w:t>全区年均单位GDP能耗下降3%以上。</w:t>
      </w:r>
    </w:p>
    <w:p w14:paraId="6064396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社会治理成效显著。</w:t>
      </w:r>
      <w:r>
        <w:rPr>
          <w:rFonts w:hint="eastAsia" w:ascii="仿宋_GB2312" w:hAnsi="仿宋_GB2312" w:eastAsia="仿宋_GB2312" w:cs="仿宋_GB2312"/>
          <w:spacing w:val="7"/>
          <w:sz w:val="32"/>
          <w:szCs w:val="32"/>
          <w:highlight w:val="none"/>
          <w:lang w:val="en-US" w:eastAsia="zh-CN"/>
        </w:rPr>
        <w:t>建立健全安全监管制度，规范执法模式，强化联合执法效能，建立安全隐患台账，深入开展安全生产重大风险隐患排查整治专项行动，完善隐患排查治理机制，确保问题不反弹。加强安全责任体系建设，坚决落实“党政同责、一岗双责、失职追责”，强化主体责任、监管责任和领导责任，夯实安全生产基础。坚持“三管三必须”工作要求，持续开展煤矿、非煤矿山、燃气等行业领域大检查，维护社会大局和谐稳定。标本兼治，打防并举，对地方煤矿安全生产持续实行严管、严查、严处，坚决遏制重大以上事故发生。全面排查整治重点领域的消防安全隐患，常态化开展森林防火、防汛抗旱、防灾减灾、应对极端天气巡查检查，强化前置救援力量和抢险物资储备。全面完善各行业综合（专项）应急预案和现场处置方案，逐步实现应急管理系统化、信息化。强化风险防控。牢牢守住不发生系统性风险的底线，不断提升风险防控能力。强化金融监管合力，加强系统性金融风险监测和研判，重点紧盯网络集资、非法集资、民间融资等问题，不断加大防范打击和处置力度，全力维护良好金融秩序，坚持“过紧日子”，积极化解地方债务。加大非法盗采、“食药环”“黄赌毒”和电信诈骗等违法犯罪行为打击力度，加强社会治安防控体系建设，常态化开展扫黑除恶专项斗争，开展多形式宣传引导，全力营造良好的社会环境，助推平安宝山建设。</w:t>
      </w:r>
    </w:p>
    <w:p w14:paraId="2CC60B2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1"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bCs/>
          <w:spacing w:val="7"/>
          <w:sz w:val="32"/>
          <w:szCs w:val="32"/>
          <w:highlight w:val="none"/>
          <w:lang w:val="en-US" w:eastAsia="zh-CN"/>
        </w:rPr>
        <w:t>党风建设纵深推进。</w:t>
      </w:r>
      <w:r>
        <w:rPr>
          <w:rFonts w:hint="eastAsia" w:ascii="仿宋_GB2312" w:hAnsi="仿宋_GB2312" w:eastAsia="仿宋_GB2312" w:cs="仿宋_GB2312"/>
          <w:spacing w:val="7"/>
          <w:sz w:val="32"/>
          <w:szCs w:val="32"/>
          <w:highlight w:val="none"/>
          <w:lang w:val="en-US" w:eastAsia="zh-CN"/>
        </w:rPr>
        <w:t>全面落实新时代党的建设总要求，推进全面从严治党向纵深发展。深入开展党纪学习教育，统筹学纪、知纪、明纪、守纪各项任务，引导广大党员真正把纪律规矩转化为思想自觉、行动自觉。深入实施基层党建“三铸工程”，巩固拓展“红色新安”党建联盟等实践创新成果，以“最小单元”组织根系释放“最大效能”。全区干事创业精气神和综合素质显著提升，思想根基进一步筑牢，纪律意识和规矩意识全面增强，风清气正的良好政治生态持续巩固，为高质量振兴发展提供了坚强保障。</w:t>
      </w:r>
    </w:p>
    <w:p w14:paraId="17A9D70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回顾“十四五”时期，规划目标基本实现，经济社会实现健康发展，高质量发展，新时代振兴取得显著成效，为“十五五”时期乘势而上，二〇三五年基本实现社会主义现代化奠定更加坚实的基础。</w:t>
      </w:r>
    </w:p>
    <w:p w14:paraId="099F1F6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8FF99BE">
      <w:pPr>
        <w:pStyle w:val="3"/>
        <w:pageBreakBefore w:val="0"/>
        <w:widowControl/>
        <w:kinsoku w:val="0"/>
        <w:wordWrap/>
        <w:overflowPunct/>
        <w:topLinePunct w:val="0"/>
        <w:autoSpaceDE w:val="0"/>
        <w:autoSpaceDN w:val="0"/>
        <w:bidi w:val="0"/>
        <w:adjustRightInd w:val="0"/>
        <w:snapToGrid w:val="0"/>
        <w:spacing w:before="0" w:beforeLines="0" w:after="0" w:afterLines="0" w:line="580" w:lineRule="exact"/>
        <w:jc w:val="center"/>
        <w:textAlignment w:val="baseline"/>
        <w:rPr>
          <w:rFonts w:hint="eastAsia"/>
          <w:b w:val="0"/>
          <w:bCs/>
          <w:highlight w:val="none"/>
          <w:lang w:val="en-US" w:eastAsia="zh-CN"/>
        </w:rPr>
      </w:pPr>
      <w:bookmarkStart w:id="9" w:name="_Toc10283"/>
      <w:bookmarkStart w:id="10" w:name="_Toc28249"/>
      <w:bookmarkStart w:id="11" w:name="_Toc32055"/>
      <w:bookmarkStart w:id="12" w:name="_Toc29975"/>
      <w:r>
        <w:rPr>
          <w:rFonts w:hint="eastAsia"/>
          <w:b w:val="0"/>
          <w:bCs/>
          <w:highlight w:val="none"/>
          <w:lang w:val="en-US" w:eastAsia="zh-CN"/>
        </w:rPr>
        <w:t>第二节 发展现状和挑战</w:t>
      </w:r>
      <w:bookmarkEnd w:id="9"/>
      <w:bookmarkEnd w:id="10"/>
      <w:bookmarkEnd w:id="11"/>
      <w:bookmarkEnd w:id="12"/>
    </w:p>
    <w:p w14:paraId="4BDF205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bookmarkStart w:id="13" w:name="_Toc5773"/>
      <w:bookmarkStart w:id="14" w:name="_Toc30485"/>
      <w:bookmarkStart w:id="15" w:name="_Toc25782"/>
      <w:r>
        <w:rPr>
          <w:rFonts w:hint="eastAsia" w:ascii="仿宋_GB2312" w:hAnsi="仿宋_GB2312" w:eastAsia="仿宋_GB2312" w:cs="仿宋_GB2312"/>
          <w:spacing w:val="7"/>
          <w:sz w:val="32"/>
          <w:szCs w:val="32"/>
          <w:highlight w:val="none"/>
          <w:lang w:val="en-US" w:eastAsia="zh-CN"/>
        </w:rPr>
        <w:t>过去的五年，作为全市煤炭资源型城区转型发展的重要组成部分，宝山区以四个产业发展为抓手，紧扣全省</w:t>
      </w:r>
      <w:r>
        <w:rPr>
          <w:rFonts w:hint="eastAsia" w:ascii="Times New Roman" w:hAnsi="Times New Roman" w:eastAsia="仿宋_GB2312" w:cs="Times New Roman"/>
          <w:b w:val="0"/>
          <w:bCs w:val="0"/>
          <w:spacing w:val="6"/>
          <w:kern w:val="0"/>
          <w:sz w:val="32"/>
          <w:szCs w:val="32"/>
          <w:highlight w:val="none"/>
          <w:lang w:val="en-US" w:eastAsia="zh-CN" w:bidi="ar"/>
        </w:rPr>
        <w:t>4567</w:t>
      </w:r>
      <w:r>
        <w:rPr>
          <w:rFonts w:hint="eastAsia" w:ascii="仿宋_GB2312" w:hAnsi="仿宋_GB2312" w:eastAsia="仿宋_GB2312" w:cs="仿宋_GB2312"/>
          <w:spacing w:val="7"/>
          <w:sz w:val="32"/>
          <w:szCs w:val="32"/>
          <w:highlight w:val="none"/>
          <w:lang w:val="en-US" w:eastAsia="zh-CN"/>
        </w:rPr>
        <w:t>现代化产业体系建设蓝图，起到了“煤电压舱石”“新兴产业引领”“能源结构调整先锋”的重要作用，有效配合中心城区实现产业转移，转型发展的重要目标，助力了全市生产活动、消费活动的有序发展。当今世界单边主义、保护主义加剧，全球经贸秩序遭受严重冲击，但合作共赢、开放包容仍是不可阻挡的时代潮流。面对诸多制约，推动经济转型、探索多元化发展路径成为现阶段推动经济发展的广泛共识。作为以能源产业为主导的转型发展区，探索接续替代产业，强化产业链支撑，激发内生动力，全力扩大内需就显得尤为重要。找准新发展定位，融入新发展理念，坚持以创新加快形成新质生产力，推动高质量发展，以“新”谋“进”，以“进”促“稳”，成为“十五五”时期的重要发展思路。通过高水平对外开放与创新驱动的高质量发展，加速推进科技创新，提升全要素生产率为经济发展注入稳定性与确定性。</w:t>
      </w:r>
      <w:bookmarkEnd w:id="13"/>
      <w:bookmarkEnd w:id="14"/>
      <w:bookmarkEnd w:id="15"/>
    </w:p>
    <w:p w14:paraId="3988E27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宝山区经济体量小但基础稳，可开发路径窄但韧性强，现有主导产业体系完备，基础设施完善，为高质量发展积累了丰富的经验。“十四五”期间，党中央围绕推动新时代东北全面振兴作出一系列决策部署、出台具体政策措施，政策红利进入集中释放期。双循环新发展格局进入塑建期。超大规模市场进一步显现，消费对经济的基础性作用凸显，高水平对外开放推动国际循环不断提质增效，以扩大内需为主导的可持续增长模式逐步形成，为我区传统产业和战略性新兴产业发展提供新空间。</w:t>
      </w:r>
    </w:p>
    <w:p w14:paraId="084CED2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十四五”期间宝山区经济建设和社会发展虽然取得了积极成效，但发展面临困难和挑战依然突出。经济发展开发潜力与现有经济总量和发展速度不匹配，资源禀赋、优势与主导产业发展进度不相称，产业发展与科技创新融合度不高，重点领域发展还存在“单打独斗”现象，无法形成产业链条式发展。民营企业发展动力不足，对外开放程度仍然不够，人口流失及人口结构失衡给社会事业发展带来的问题仍然严峻。当前和今后一个时期，是以中国式现代化全面推进强国建设、民族复兴伟业的关键时期，机遇与挑战并存、合作与竞争交织、变量与增量叠加、困难与希望同在。党中央在中央经济工作会议上，确定了更加积极有为的宏观政策，大力提振消费、提高投资效益，全方位扩大国内需求，加强超常规逆周期调节，打出一套力度空前的政策“组合拳”。这就要求宝山区在主导产业回暖向好，优质产能逐步充分释放，能力作风持续转变的大好前提下，提振信心，全力以赴，推动各项工作呈现稳中向上、回升向好的态势。</w:t>
      </w:r>
    </w:p>
    <w:p w14:paraId="623BCC7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十五五”时期是宝山衔接过往发展成效、助力社会主义现代化建设迈向新阶段的重要承启阶段。我们要坚决贯彻落实习近平总书记重要讲话重要指示批示精神，深刻领悟“两个确立”的决定性意义，切实增强“四个意识”、坚定“四个自信”、做到“两个维护”，坚持稳中求进、以进促稳，守正创新、先立后破，系统集成、协同配合，完整准确全面贯彻新发展理念，服务和融入构建新发展格局，坚决扛起维护国家“五大安全”重大使命责任，以推动转型高质量发展为主题，防范化解重点领域风险和外部冲击，以高质量发展的确定性应对外部不确定性。构建具有宝山特色的现代化产业体系，进一步深化改革，持续保障和改善民生，维护社会和谐稳定，全面从严管党治党，“十五五”期间将全方位推动经济高质量发展，牢记嘱托、踔厉奋发、勇毅前行，为建设社会主义现代化强区奠定坚实基础。</w:t>
      </w:r>
    </w:p>
    <w:p w14:paraId="1A2A9C1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45CB14E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CAC7A84">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16" w:name="_Toc14460"/>
      <w:bookmarkStart w:id="17" w:name="_Toc26809"/>
      <w:bookmarkStart w:id="18" w:name="_Toc3496"/>
      <w:bookmarkStart w:id="19" w:name="_Toc16718"/>
      <w:r>
        <w:rPr>
          <w:rFonts w:hint="eastAsia" w:ascii="方正小标宋简体" w:hAnsi="方正小标宋简体" w:eastAsia="方正小标宋简体" w:cs="方正小标宋简体"/>
          <w:b w:val="0"/>
          <w:bCs/>
          <w:sz w:val="36"/>
          <w:szCs w:val="36"/>
          <w:highlight w:val="none"/>
          <w:lang w:val="en-US" w:eastAsia="zh-CN"/>
        </w:rPr>
        <w:t xml:space="preserve">第二章  </w:t>
      </w:r>
      <w:bookmarkEnd w:id="16"/>
      <w:bookmarkEnd w:id="17"/>
      <w:bookmarkEnd w:id="18"/>
      <w:r>
        <w:rPr>
          <w:rFonts w:hint="eastAsia" w:ascii="方正小标宋简体" w:hAnsi="方正小标宋简体" w:eastAsia="方正小标宋简体" w:cs="方正小标宋简体"/>
          <w:b w:val="0"/>
          <w:bCs/>
          <w:sz w:val="36"/>
          <w:szCs w:val="36"/>
          <w:highlight w:val="none"/>
          <w:lang w:val="en-US" w:eastAsia="zh-CN"/>
        </w:rPr>
        <w:t>明确“十五五”要求 高质量振兴谋篇布局</w:t>
      </w:r>
      <w:bookmarkEnd w:id="19"/>
    </w:p>
    <w:p w14:paraId="15D4B6C9">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2" w:firstLineChars="200"/>
        <w:jc w:val="both"/>
        <w:textAlignment w:val="baseline"/>
        <w:outlineLvl w:val="9"/>
        <w:rPr>
          <w:rFonts w:hint="eastAsia" w:ascii="仿宋_GB2312" w:hAnsi="仿宋_GB2312" w:eastAsia="仿宋_GB2312" w:cs="仿宋_GB2312"/>
          <w:spacing w:val="8"/>
          <w:sz w:val="32"/>
          <w:szCs w:val="32"/>
          <w:highlight w:val="none"/>
        </w:rPr>
      </w:pPr>
      <w:bookmarkStart w:id="20" w:name="bookmark73"/>
      <w:bookmarkEnd w:id="20"/>
    </w:p>
    <w:p w14:paraId="70C73945">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rPr>
      </w:pPr>
      <w:bookmarkStart w:id="21" w:name="_Toc345"/>
      <w:bookmarkStart w:id="22" w:name="_Toc10471"/>
      <w:bookmarkStart w:id="23" w:name="_Toc6562"/>
      <w:bookmarkStart w:id="24" w:name="_Toc25110"/>
      <w:r>
        <w:rPr>
          <w:rFonts w:hint="eastAsia"/>
          <w:b w:val="0"/>
          <w:bCs/>
          <w:highlight w:val="none"/>
        </w:rPr>
        <w:t>第一节 指导思想</w:t>
      </w:r>
      <w:bookmarkEnd w:id="21"/>
      <w:bookmarkEnd w:id="22"/>
      <w:bookmarkEnd w:id="23"/>
      <w:bookmarkEnd w:id="24"/>
    </w:p>
    <w:p w14:paraId="4BA701F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完整准确全面贯彻新发展理念，主动融入和服务新发展格局，坚持稳中求进工作总基调，坚持以经济建设为中心，坚持以推动高质量发展为主题，以发展新质生产力为牵引，以改革创新为根本动力，以满足人民日益增长的美好生活需要为根本目的，以全面从严治党为根本保障，坚持稳中求进工作总基调，牢牢把握维护国家“五大安全”的重要使命，努力在龙江“六个转变”推进“八个振兴”中主动作为，在全市快速发展大局中找准宝山区发展定位。</w:t>
      </w:r>
    </w:p>
    <w:p w14:paraId="7F19EDE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086778AE">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rPr>
      </w:pPr>
      <w:bookmarkStart w:id="25" w:name="_Toc5624"/>
      <w:bookmarkStart w:id="26" w:name="_Toc9815"/>
      <w:bookmarkStart w:id="27" w:name="_Toc1806"/>
      <w:bookmarkStart w:id="28" w:name="_Toc8162"/>
      <w:r>
        <w:rPr>
          <w:rFonts w:hint="eastAsia"/>
          <w:b w:val="0"/>
          <w:bCs/>
          <w:highlight w:val="none"/>
          <w:lang w:val="en-US" w:eastAsia="zh-CN"/>
        </w:rPr>
        <w:t xml:space="preserve">第二节 </w:t>
      </w:r>
      <w:r>
        <w:rPr>
          <w:rFonts w:hint="eastAsia"/>
          <w:b w:val="0"/>
          <w:bCs/>
          <w:highlight w:val="none"/>
        </w:rPr>
        <w:t>基本原则</w:t>
      </w:r>
      <w:bookmarkEnd w:id="25"/>
      <w:bookmarkEnd w:id="26"/>
      <w:bookmarkEnd w:id="27"/>
      <w:bookmarkEnd w:id="28"/>
    </w:p>
    <w:p w14:paraId="35036F9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根据上述指导思想，“十五五”时期经济社会发展要重点把握好以下原则。</w:t>
      </w:r>
    </w:p>
    <w:p w14:paraId="4077070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——坚持党的全面领导。</w:t>
      </w:r>
      <w:r>
        <w:rPr>
          <w:rFonts w:hint="eastAsia" w:ascii="仿宋_GB2312" w:hAnsi="仿宋_GB2312" w:eastAsia="仿宋_GB2312" w:cs="仿宋_GB2312"/>
          <w:spacing w:val="7"/>
          <w:sz w:val="32"/>
          <w:szCs w:val="32"/>
          <w:highlight w:val="none"/>
          <w:lang w:val="en-US" w:eastAsia="zh-CN"/>
        </w:rPr>
        <w:t>坚持把党的领导贯穿到政治、经济、文化、社会事业等全过程，坚持和完善党领导经济社会发展的体制机制，不断提高贯彻新发展理念、自觉全面融入新发展格局的能力和水平，为推动高质量发展、实现全面振兴全方位振兴提供根本保证。</w:t>
      </w:r>
    </w:p>
    <w:p w14:paraId="5EB4917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——坚持人民至上原则。</w:t>
      </w:r>
      <w:r>
        <w:rPr>
          <w:rFonts w:hint="eastAsia" w:ascii="仿宋_GB2312" w:hAnsi="仿宋_GB2312" w:eastAsia="仿宋_GB2312" w:cs="仿宋_GB2312"/>
          <w:spacing w:val="7"/>
          <w:sz w:val="32"/>
          <w:szCs w:val="32"/>
          <w:highlight w:val="none"/>
          <w:lang w:val="en-US" w:eastAsia="zh-CN"/>
        </w:rPr>
        <w:t>始终把人民对美好生活的向往作为奋斗目标，坚持人民主体地位，坚持共同富裕方向，始终做到发展为了人民、发展依靠人民、发展成果由人民共享，维护人民根本利益，激发全区人民积极性、主动性、创造性，促进社会公平，增进民生福祉，不断实现人民对美好生活的向往。</w:t>
      </w:r>
    </w:p>
    <w:p w14:paraId="4494BC8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——坚持高质量发展方向。</w:t>
      </w:r>
      <w:r>
        <w:rPr>
          <w:rFonts w:hint="eastAsia" w:ascii="仿宋_GB2312" w:hAnsi="仿宋_GB2312" w:eastAsia="仿宋_GB2312" w:cs="仿宋_GB2312"/>
          <w:spacing w:val="7"/>
          <w:sz w:val="32"/>
          <w:szCs w:val="32"/>
          <w:highlight w:val="none"/>
          <w:lang w:val="en-US" w:eastAsia="zh-CN"/>
        </w:rPr>
        <w:t>坚持把新发展理念贯穿高质量发展全过程各领域，因地制宜发展新质生产力，自觉全面融入新发展格局，切实转变发展方式，推动质量变革、效率变革、动力变革，实现更高质量、更有效率、更加公平、更可持续、更为安全的发展。</w:t>
      </w:r>
    </w:p>
    <w:p w14:paraId="6ABC2D1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——坚持深化改革开放，</w:t>
      </w:r>
      <w:r>
        <w:rPr>
          <w:rFonts w:hint="eastAsia" w:ascii="仿宋_GB2312" w:hAnsi="仿宋_GB2312" w:eastAsia="仿宋_GB2312" w:cs="仿宋_GB2312"/>
          <w:spacing w:val="7"/>
          <w:sz w:val="32"/>
          <w:szCs w:val="32"/>
          <w:highlight w:val="none"/>
          <w:lang w:val="en-US" w:eastAsia="en-US"/>
        </w:rPr>
        <w:t>坚定不移推进改革，坚定不移扩大开放，</w:t>
      </w:r>
      <w:r>
        <w:rPr>
          <w:rFonts w:hint="eastAsia" w:ascii="仿宋_GB2312" w:hAnsi="仿宋_GB2312" w:eastAsia="仿宋_GB2312" w:cs="仿宋_GB2312"/>
          <w:spacing w:val="7"/>
          <w:sz w:val="32"/>
          <w:szCs w:val="32"/>
          <w:highlight w:val="none"/>
          <w:lang w:val="en-US" w:eastAsia="zh-CN"/>
        </w:rPr>
        <w:t>做到有效市场和有为政府相结合，着力破除制约高质量发展的体制机制障碍，</w:t>
      </w:r>
      <w:r>
        <w:rPr>
          <w:rFonts w:hint="eastAsia" w:ascii="仿宋_GB2312" w:hAnsi="仿宋_GB2312" w:eastAsia="仿宋_GB2312" w:cs="仿宋_GB2312"/>
          <w:spacing w:val="7"/>
          <w:sz w:val="32"/>
          <w:szCs w:val="32"/>
          <w:highlight w:val="none"/>
          <w:lang w:val="en-US" w:eastAsia="en-US"/>
        </w:rPr>
        <w:t>强化有利于提高资源配置效率</w:t>
      </w:r>
      <w:r>
        <w:rPr>
          <w:rFonts w:hint="eastAsia" w:ascii="仿宋_GB2312" w:hAnsi="仿宋_GB2312" w:eastAsia="仿宋_GB2312" w:cs="仿宋_GB2312"/>
          <w:spacing w:val="7"/>
          <w:sz w:val="32"/>
          <w:szCs w:val="32"/>
          <w:highlight w:val="none"/>
          <w:lang w:val="en-US" w:eastAsia="zh-CN"/>
        </w:rPr>
        <w:t>，</w:t>
      </w:r>
      <w:r>
        <w:rPr>
          <w:rFonts w:hint="eastAsia" w:ascii="仿宋_GB2312" w:hAnsi="仿宋_GB2312" w:eastAsia="仿宋_GB2312" w:cs="仿宋_GB2312"/>
          <w:spacing w:val="7"/>
          <w:sz w:val="32"/>
          <w:szCs w:val="32"/>
          <w:highlight w:val="none"/>
          <w:lang w:val="en-US" w:eastAsia="en-US"/>
        </w:rPr>
        <w:t>调动全社会积极性的重大改革开放举措，应对变局、开拓新局</w:t>
      </w:r>
      <w:r>
        <w:rPr>
          <w:rFonts w:hint="eastAsia" w:ascii="仿宋_GB2312" w:hAnsi="仿宋_GB2312" w:eastAsia="仿宋_GB2312" w:cs="仿宋_GB2312"/>
          <w:spacing w:val="7"/>
          <w:sz w:val="32"/>
          <w:szCs w:val="32"/>
          <w:highlight w:val="none"/>
          <w:lang w:val="en-US" w:eastAsia="zh-CN"/>
        </w:rPr>
        <w:t>。</w:t>
      </w:r>
    </w:p>
    <w:p w14:paraId="152136A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——坚持守正创新方式。</w:t>
      </w:r>
      <w:r>
        <w:rPr>
          <w:rFonts w:hint="eastAsia" w:ascii="仿宋_GB2312" w:hAnsi="仿宋_GB2312" w:eastAsia="仿宋_GB2312" w:cs="仿宋_GB2312"/>
          <w:spacing w:val="7"/>
          <w:sz w:val="32"/>
          <w:szCs w:val="32"/>
          <w:highlight w:val="none"/>
          <w:lang w:val="en-US" w:eastAsia="zh-CN"/>
        </w:rPr>
        <w:t>以守正坚持正确方向，以创新引领未来发展，坚持中国特色社会主义不动摇，紧跟时代步伐，顺应发展需要，推进理论创新、实践创新、制度创新、文化创新以及其他各方面创新。</w:t>
      </w:r>
    </w:p>
    <w:p w14:paraId="68696B8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——坚持系统观念指导。</w:t>
      </w:r>
      <w:r>
        <w:rPr>
          <w:rFonts w:hint="eastAsia" w:ascii="仿宋_GB2312" w:hAnsi="仿宋_GB2312" w:eastAsia="仿宋_GB2312" w:cs="仿宋_GB2312"/>
          <w:spacing w:val="7"/>
          <w:sz w:val="32"/>
          <w:szCs w:val="32"/>
          <w:highlight w:val="none"/>
          <w:lang w:val="en-US" w:eastAsia="zh-CN"/>
        </w:rPr>
        <w:t>科学把握全局和局部、当前和长远、宏观和微观。加强前瞻性思考、全局性谋划、整体性推进，不断增强战略思维、历史思维、辩证思维、系统思维、创新思维、法治思维、底线思维，以前瞻性思考、全局性谋划、实现发展质量、结构、规模、速度、效益、安全相统一。</w:t>
      </w:r>
    </w:p>
    <w:p w14:paraId="18724CC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——坚持统筹发展和安全。</w:t>
      </w:r>
      <w:r>
        <w:rPr>
          <w:rFonts w:hint="eastAsia" w:ascii="仿宋_GB2312" w:hAnsi="仿宋_GB2312" w:eastAsia="仿宋_GB2312" w:cs="仿宋_GB2312"/>
          <w:spacing w:val="7"/>
          <w:sz w:val="32"/>
          <w:szCs w:val="32"/>
          <w:highlight w:val="none"/>
          <w:lang w:val="en-US" w:eastAsia="zh-CN"/>
        </w:rPr>
        <w:t>深入贯彻总体国家安全观，着力固根基、扬优势、补短板、强弱项，维护好国家“五大安全”，防范化解重大风险挑战，以新安全格局保障新发展格局。</w:t>
      </w:r>
    </w:p>
    <w:p w14:paraId="2000246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6A5BCF3C">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29" w:name="_Toc19498"/>
      <w:bookmarkStart w:id="30" w:name="_Toc12315"/>
      <w:bookmarkStart w:id="31" w:name="_Toc1830"/>
      <w:bookmarkStart w:id="32" w:name="_Toc747"/>
      <w:r>
        <w:rPr>
          <w:rFonts w:hint="eastAsia"/>
          <w:b w:val="0"/>
          <w:bCs/>
          <w:highlight w:val="none"/>
        </w:rPr>
        <w:t>第三节 发展目标</w:t>
      </w:r>
      <w:bookmarkEnd w:id="29"/>
      <w:bookmarkEnd w:id="30"/>
      <w:bookmarkEnd w:id="31"/>
      <w:bookmarkEnd w:id="32"/>
    </w:p>
    <w:p w14:paraId="26C2526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4"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Times New Roman" w:hAnsi="Times New Roman" w:eastAsia="仿宋_GB2312" w:cs="Times New Roman"/>
          <w:b w:val="0"/>
          <w:bCs w:val="0"/>
          <w:spacing w:val="6"/>
          <w:kern w:val="0"/>
          <w:sz w:val="32"/>
          <w:szCs w:val="32"/>
          <w:highlight w:val="none"/>
          <w:lang w:val="en-US" w:eastAsia="zh-CN" w:bidi="ar"/>
        </w:rPr>
        <w:t>到2030年，煤炭产业提质增效、新能源产业集群发展、新材料产业同频共振，现代化农业强根固基，特色文旅融合发展成效更加显著，基本形成经济实力强、发展动力足、开放活力优、城区魅力大、幸福指数高的振兴发展新局面，为2035年基</w:t>
      </w:r>
      <w:r>
        <w:rPr>
          <w:rFonts w:hint="eastAsia" w:ascii="仿宋_GB2312" w:hAnsi="仿宋_GB2312" w:eastAsia="仿宋_GB2312" w:cs="仿宋_GB2312"/>
          <w:spacing w:val="7"/>
          <w:sz w:val="32"/>
          <w:szCs w:val="32"/>
          <w:highlight w:val="none"/>
          <w:lang w:val="en-US" w:eastAsia="zh-CN"/>
        </w:rPr>
        <w:t>本实现社会主义现代化奠定决定性基础。今后五年经济社会发展努力实现以下主要目标。</w:t>
      </w:r>
    </w:p>
    <w:p w14:paraId="06D5AE9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经济发展迈上新台阶。</w:t>
      </w:r>
      <w:r>
        <w:rPr>
          <w:rFonts w:hint="eastAsia" w:ascii="仿宋_GB2312" w:hAnsi="仿宋_GB2312" w:eastAsia="仿宋_GB2312" w:cs="仿宋_GB2312"/>
          <w:spacing w:val="7"/>
          <w:sz w:val="32"/>
          <w:szCs w:val="32"/>
          <w:highlight w:val="none"/>
          <w:lang w:val="en-US" w:eastAsia="zh-CN"/>
        </w:rPr>
        <w:t>保持经济较快增长，地区生产总值年均增速不低于全市平均水平，经济总量较十四五明显提升。持续调整产业结构，传统产业获得新提升，新兴产业不断扩大，各类经济主体活力不断增强。</w:t>
      </w:r>
    </w:p>
    <w:p w14:paraId="1438C77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改革创新实现新突破。</w:t>
      </w:r>
      <w:r>
        <w:rPr>
          <w:rFonts w:hint="eastAsia" w:ascii="仿宋_GB2312" w:hAnsi="仿宋_GB2312" w:eastAsia="仿宋_GB2312" w:cs="仿宋_GB2312"/>
          <w:spacing w:val="7"/>
          <w:sz w:val="32"/>
          <w:szCs w:val="32"/>
          <w:highlight w:val="none"/>
          <w:lang w:val="en-US" w:eastAsia="zh-CN"/>
        </w:rPr>
        <w:t>着力破解体制机制障碍，充分激发现代化建设的动力活力，“放管服”“生态总长制”等重点改革纵深推进，形成同市场、社会完全对接、充满活力的体制机制。科技创新和产业创新深度融合，民营经济发展活力明显增长，创新能力不断提升。全社会研发经费投入（含在区国有矿企）年</w:t>
      </w:r>
      <w:r>
        <w:rPr>
          <w:rFonts w:hint="eastAsia" w:ascii="Times New Roman" w:hAnsi="Times New Roman" w:eastAsia="仿宋_GB2312" w:cs="Times New Roman"/>
          <w:b w:val="0"/>
          <w:bCs w:val="0"/>
          <w:spacing w:val="6"/>
          <w:kern w:val="0"/>
          <w:sz w:val="32"/>
          <w:szCs w:val="32"/>
          <w:highlight w:val="none"/>
          <w:lang w:val="en-US" w:eastAsia="zh-CN" w:bidi="ar"/>
        </w:rPr>
        <w:t>均增长3%，战略性新兴产业增加值占地区生产总值比重达1.5%，</w:t>
      </w:r>
      <w:r>
        <w:rPr>
          <w:rFonts w:hint="eastAsia" w:ascii="仿宋_GB2312" w:hAnsi="仿宋_GB2312" w:eastAsia="仿宋_GB2312" w:cs="仿宋_GB2312"/>
          <w:spacing w:val="7"/>
          <w:sz w:val="32"/>
          <w:szCs w:val="32"/>
          <w:highlight w:val="none"/>
          <w:lang w:val="en-US" w:eastAsia="zh-CN"/>
        </w:rPr>
        <w:t>科技进步贡献率大幅提升。</w:t>
      </w:r>
    </w:p>
    <w:p w14:paraId="75B42FD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b w:val="0"/>
          <w:bCs w:val="0"/>
          <w:spacing w:val="6"/>
          <w:kern w:val="0"/>
          <w:sz w:val="32"/>
          <w:szCs w:val="32"/>
          <w:highlight w:val="none"/>
          <w:lang w:val="en-US" w:eastAsia="zh-CN" w:bidi="ar"/>
        </w:rPr>
      </w:pPr>
      <w:r>
        <w:rPr>
          <w:rFonts w:hint="eastAsia" w:ascii="仿宋_GB2312" w:hAnsi="仿宋_GB2312" w:eastAsia="仿宋_GB2312" w:cs="仿宋_GB2312"/>
          <w:b w:val="0"/>
          <w:bCs w:val="0"/>
          <w:spacing w:val="7"/>
          <w:sz w:val="32"/>
          <w:szCs w:val="32"/>
          <w:highlight w:val="none"/>
          <w:lang w:val="en-US" w:eastAsia="zh-CN"/>
        </w:rPr>
        <w:t>民生福祉达到新水平。</w:t>
      </w:r>
      <w:r>
        <w:rPr>
          <w:rFonts w:hint="eastAsia" w:ascii="仿宋_GB2312" w:hAnsi="仿宋_GB2312" w:eastAsia="仿宋_GB2312" w:cs="仿宋_GB2312"/>
          <w:spacing w:val="7"/>
          <w:sz w:val="32"/>
          <w:szCs w:val="32"/>
          <w:highlight w:val="none"/>
          <w:lang w:val="en-US" w:eastAsia="zh-CN"/>
        </w:rPr>
        <w:t>城乡居民收入增长与经济增长共同提高，教育质量优势不断扩大，教育公平有效彰显。基本医疗卫生制度实现生命全周期，健康全过程覆盖，文化、体育、养老等公共服务均等化水平巩固提高，多层次社会保障体系健全完善，实现更加充分、更高质量就业，人民群众获得感、幸福感、安全感显著增强。居民人均可支配收</w:t>
      </w:r>
      <w:r>
        <w:rPr>
          <w:rFonts w:hint="eastAsia" w:ascii="Times New Roman" w:hAnsi="Times New Roman" w:eastAsia="仿宋_GB2312" w:cs="Times New Roman"/>
          <w:b w:val="0"/>
          <w:bCs w:val="0"/>
          <w:spacing w:val="6"/>
          <w:kern w:val="0"/>
          <w:sz w:val="32"/>
          <w:szCs w:val="32"/>
          <w:highlight w:val="none"/>
          <w:lang w:val="en-US" w:eastAsia="zh-CN" w:bidi="ar"/>
        </w:rPr>
        <w:t>入增长5%左右。</w:t>
      </w:r>
    </w:p>
    <w:p w14:paraId="33FEC84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b w:val="0"/>
          <w:bCs w:val="0"/>
          <w:spacing w:val="6"/>
          <w:kern w:val="0"/>
          <w:sz w:val="32"/>
          <w:szCs w:val="32"/>
          <w:highlight w:val="none"/>
          <w:lang w:val="en-US" w:eastAsia="zh-CN" w:bidi="ar"/>
        </w:rPr>
      </w:pPr>
      <w:r>
        <w:rPr>
          <w:rFonts w:hint="eastAsia" w:ascii="仿宋_GB2312" w:hAnsi="仿宋_GB2312" w:eastAsia="仿宋_GB2312" w:cs="仿宋_GB2312"/>
          <w:b w:val="0"/>
          <w:bCs w:val="0"/>
          <w:spacing w:val="7"/>
          <w:sz w:val="32"/>
          <w:szCs w:val="32"/>
          <w:highlight w:val="none"/>
          <w:lang w:val="en-US" w:eastAsia="zh-CN"/>
        </w:rPr>
        <w:t>生态环境取得新成效。</w:t>
      </w:r>
      <w:r>
        <w:rPr>
          <w:rFonts w:hint="eastAsia" w:ascii="仿宋_GB2312" w:hAnsi="仿宋_GB2312" w:eastAsia="仿宋_GB2312" w:cs="仿宋_GB2312"/>
          <w:spacing w:val="7"/>
          <w:sz w:val="32"/>
          <w:szCs w:val="32"/>
          <w:highlight w:val="none"/>
          <w:lang w:val="en-US" w:eastAsia="zh-CN"/>
        </w:rPr>
        <w:t>主要污染物排放总量持续减少，河流生态和山体生态治理有效，人居环境持续改善，生态安全屏障更加稳固。持续推进中央环保督察整改，如期实现碳达峰目标，</w:t>
      </w:r>
      <w:r>
        <w:rPr>
          <w:rFonts w:hint="eastAsia" w:ascii="Times New Roman" w:hAnsi="Times New Roman" w:eastAsia="仿宋_GB2312" w:cs="Times New Roman"/>
          <w:b w:val="0"/>
          <w:bCs w:val="0"/>
          <w:spacing w:val="6"/>
          <w:kern w:val="0"/>
          <w:sz w:val="32"/>
          <w:szCs w:val="32"/>
          <w:highlight w:val="none"/>
          <w:lang w:val="en-US" w:eastAsia="zh-CN" w:bidi="ar"/>
        </w:rPr>
        <w:t>单位GDP能源消耗降幅3%，地表水达到或好于Ⅲ类水体比例，城市细颗粒物（PM2.5）浓度低于25.5微克/立方米，森林覆盖率保持在40%以上，城市空气优良天数比例保持在95%以上。</w:t>
      </w:r>
    </w:p>
    <w:p w14:paraId="553F8F1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城乡面貌呈现新变化。</w:t>
      </w:r>
      <w:r>
        <w:rPr>
          <w:rFonts w:hint="eastAsia" w:ascii="仿宋_GB2312" w:hAnsi="仿宋_GB2312" w:eastAsia="仿宋_GB2312" w:cs="仿宋_GB2312"/>
          <w:spacing w:val="7"/>
          <w:sz w:val="32"/>
          <w:szCs w:val="32"/>
          <w:highlight w:val="none"/>
          <w:lang w:val="en-US" w:eastAsia="zh-CN"/>
        </w:rPr>
        <w:t>城乡规划、建设、管理专业化能力整体提升，国土空间开发保护格局得到优化，重大产业、公共服务布局更加合理，道路交通、市政设施承载功能全面增强。城区绿化净化、亮化美化水平全市上游，生产生活方式绿色转型成效显著。</w:t>
      </w:r>
    </w:p>
    <w:p w14:paraId="7E10470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ascii="黑体" w:hAnsi="黑体" w:eastAsia="黑体" w:cs="黑体"/>
          <w:spacing w:val="7"/>
          <w:sz w:val="31"/>
          <w:szCs w:val="31"/>
          <w:highlight w:val="none"/>
        </w:rPr>
      </w:pPr>
      <w:r>
        <w:rPr>
          <w:rFonts w:hint="eastAsia" w:ascii="仿宋_GB2312" w:hAnsi="仿宋_GB2312" w:eastAsia="仿宋_GB2312" w:cs="仿宋_GB2312"/>
          <w:b w:val="0"/>
          <w:bCs w:val="0"/>
          <w:spacing w:val="7"/>
          <w:sz w:val="32"/>
          <w:szCs w:val="32"/>
          <w:highlight w:val="none"/>
          <w:lang w:val="en-US" w:eastAsia="zh-CN"/>
        </w:rPr>
        <w:t>安全保障取得新进展。</w:t>
      </w:r>
      <w:r>
        <w:rPr>
          <w:rFonts w:hint="eastAsia" w:ascii="仿宋_GB2312" w:hAnsi="仿宋_GB2312" w:eastAsia="仿宋_GB2312" w:cs="仿宋_GB2312"/>
          <w:spacing w:val="7"/>
          <w:sz w:val="32"/>
          <w:szCs w:val="32"/>
          <w:highlight w:val="none"/>
          <w:lang w:val="en-US" w:eastAsia="zh-CN"/>
        </w:rPr>
        <w:t>推动公共安全治理模式向事前预防转型，从源头遏制风险，完善公共安全体系。粮食、煤电、产业安全保障能力持续提升，产供储销体系不断优化，防范化解重大风险的体制机制日臻完善，重大突发公共事件应急处置能力显著增强，自然灾害防御体系更加健全，防御能力明显提升，平安宝山建设迈向新台阶。</w:t>
      </w:r>
    </w:p>
    <w:p w14:paraId="11B41B51">
      <w:pPr>
        <w:pStyle w:val="6"/>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方正小标宋简体" w:hAnsi="方正小标宋简体" w:eastAsia="方正小标宋简体" w:cs="方正小标宋简体"/>
          <w:sz w:val="30"/>
          <w:szCs w:val="30"/>
          <w:highlight w:val="none"/>
        </w:rPr>
      </w:pPr>
      <w:r>
        <w:rPr>
          <w:rFonts w:hint="eastAsia" w:ascii="方正小标宋简体" w:hAnsi="方正小标宋简体" w:eastAsia="方正小标宋简体" w:cs="方正小标宋简体"/>
          <w:spacing w:val="7"/>
          <w:sz w:val="30"/>
          <w:szCs w:val="30"/>
          <w:highlight w:val="none"/>
          <w:lang w:val="en-US" w:eastAsia="zh-CN"/>
        </w:rPr>
        <w:t>表</w:t>
      </w:r>
      <w:r>
        <w:rPr>
          <w:rFonts w:hint="eastAsia" w:ascii="方正小标宋简体" w:hAnsi="方正小标宋简体" w:eastAsia="方正小标宋简体" w:cs="方正小标宋简体"/>
          <w:spacing w:val="7"/>
          <w:sz w:val="30"/>
          <w:szCs w:val="30"/>
          <w:highlight w:val="none"/>
        </w:rPr>
        <w:t>1 “十五五”时期经济社会发展主要</w:t>
      </w:r>
      <w:r>
        <w:rPr>
          <w:rFonts w:hint="eastAsia" w:ascii="方正小标宋简体" w:hAnsi="方正小标宋简体" w:eastAsia="方正小标宋简体" w:cs="方正小标宋简体"/>
          <w:spacing w:val="6"/>
          <w:sz w:val="30"/>
          <w:szCs w:val="30"/>
          <w:highlight w:val="none"/>
        </w:rPr>
        <w:t>指标</w:t>
      </w:r>
    </w:p>
    <w:tbl>
      <w:tblPr>
        <w:tblStyle w:val="13"/>
        <w:tblW w:w="79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3947"/>
        <w:gridCol w:w="875"/>
        <w:gridCol w:w="767"/>
        <w:gridCol w:w="870"/>
        <w:gridCol w:w="816"/>
      </w:tblGrid>
      <w:tr w14:paraId="43BC9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jc w:val="center"/>
        </w:trPr>
        <w:tc>
          <w:tcPr>
            <w:tcW w:w="653" w:type="dxa"/>
            <w:tcBorders>
              <w:top w:val="single" w:color="000000" w:sz="10" w:space="0"/>
              <w:left w:val="nil"/>
              <w:bottom w:val="single" w:color="000000" w:sz="12" w:space="0"/>
            </w:tcBorders>
            <w:vAlign w:val="top"/>
          </w:tcPr>
          <w:p w14:paraId="109C1028">
            <w:pPr>
              <w:spacing w:before="193" w:line="231" w:lineRule="auto"/>
              <w:ind w:left="102"/>
              <w:rPr>
                <w:rFonts w:hint="eastAsia" w:ascii="黑体" w:hAnsi="黑体" w:eastAsia="黑体" w:cs="黑体"/>
                <w:b w:val="0"/>
                <w:bCs w:val="0"/>
                <w:sz w:val="23"/>
                <w:szCs w:val="23"/>
                <w:highlight w:val="none"/>
              </w:rPr>
            </w:pPr>
            <w:r>
              <w:rPr>
                <w:rFonts w:hint="eastAsia" w:ascii="黑体" w:hAnsi="黑体" w:eastAsia="黑体" w:cs="黑体"/>
                <w:b w:val="0"/>
                <w:bCs w:val="0"/>
                <w:spacing w:val="-2"/>
                <w:sz w:val="23"/>
                <w:szCs w:val="23"/>
                <w:highlight w:val="none"/>
              </w:rPr>
              <w:t>类别</w:t>
            </w:r>
          </w:p>
        </w:tc>
        <w:tc>
          <w:tcPr>
            <w:tcW w:w="3947" w:type="dxa"/>
            <w:tcBorders>
              <w:top w:val="single" w:color="000000" w:sz="10" w:space="0"/>
              <w:bottom w:val="single" w:color="000000" w:sz="12" w:space="0"/>
            </w:tcBorders>
            <w:vAlign w:val="top"/>
          </w:tcPr>
          <w:p w14:paraId="2BC2F020">
            <w:pPr>
              <w:spacing w:before="194" w:line="230" w:lineRule="auto"/>
              <w:ind w:left="1597"/>
              <w:rPr>
                <w:rFonts w:hint="eastAsia" w:ascii="黑体" w:hAnsi="黑体" w:eastAsia="黑体" w:cs="黑体"/>
                <w:b w:val="0"/>
                <w:bCs w:val="0"/>
                <w:sz w:val="23"/>
                <w:szCs w:val="23"/>
                <w:highlight w:val="none"/>
              </w:rPr>
            </w:pPr>
            <w:r>
              <w:rPr>
                <w:rFonts w:hint="eastAsia" w:ascii="黑体" w:hAnsi="黑体" w:eastAsia="黑体" w:cs="黑体"/>
                <w:b w:val="0"/>
                <w:bCs w:val="0"/>
                <w:spacing w:val="-1"/>
                <w:sz w:val="23"/>
                <w:szCs w:val="23"/>
                <w:highlight w:val="none"/>
              </w:rPr>
              <w:t>指标</w:t>
            </w:r>
          </w:p>
        </w:tc>
        <w:tc>
          <w:tcPr>
            <w:tcW w:w="875" w:type="dxa"/>
            <w:tcBorders>
              <w:top w:val="single" w:color="000000" w:sz="10" w:space="0"/>
              <w:bottom w:val="single" w:color="000000" w:sz="12" w:space="0"/>
            </w:tcBorders>
            <w:vAlign w:val="top"/>
          </w:tcPr>
          <w:p w14:paraId="13DC0990">
            <w:pPr>
              <w:spacing w:before="194" w:line="230" w:lineRule="auto"/>
              <w:ind w:left="68"/>
              <w:rPr>
                <w:rFonts w:hint="eastAsia" w:ascii="黑体" w:hAnsi="黑体" w:eastAsia="黑体" w:cs="黑体"/>
                <w:b w:val="0"/>
                <w:bCs w:val="0"/>
                <w:sz w:val="23"/>
                <w:szCs w:val="23"/>
                <w:highlight w:val="none"/>
              </w:rPr>
            </w:pPr>
            <w:r>
              <w:rPr>
                <w:rFonts w:hint="eastAsia" w:ascii="黑体" w:hAnsi="黑体" w:eastAsia="黑体" w:cs="黑体"/>
                <w:b w:val="0"/>
                <w:bCs w:val="0"/>
                <w:spacing w:val="-1"/>
                <w:sz w:val="23"/>
                <w:szCs w:val="23"/>
                <w:highlight w:val="none"/>
              </w:rPr>
              <w:t>2025年</w:t>
            </w:r>
          </w:p>
        </w:tc>
        <w:tc>
          <w:tcPr>
            <w:tcW w:w="767" w:type="dxa"/>
            <w:tcBorders>
              <w:top w:val="single" w:color="000000" w:sz="10" w:space="0"/>
              <w:bottom w:val="single" w:color="000000" w:sz="12" w:space="0"/>
            </w:tcBorders>
            <w:vAlign w:val="top"/>
          </w:tcPr>
          <w:p w14:paraId="7D811444">
            <w:pPr>
              <w:spacing w:before="194" w:line="230" w:lineRule="auto"/>
              <w:ind w:left="58"/>
              <w:rPr>
                <w:rFonts w:hint="eastAsia" w:ascii="黑体" w:hAnsi="黑体" w:eastAsia="黑体" w:cs="黑体"/>
                <w:b w:val="0"/>
                <w:bCs w:val="0"/>
                <w:sz w:val="23"/>
                <w:szCs w:val="23"/>
                <w:highlight w:val="none"/>
              </w:rPr>
            </w:pPr>
            <w:r>
              <w:rPr>
                <w:rFonts w:hint="eastAsia" w:ascii="黑体" w:hAnsi="黑体" w:eastAsia="黑体" w:cs="黑体"/>
                <w:b w:val="0"/>
                <w:bCs w:val="0"/>
                <w:spacing w:val="-1"/>
                <w:sz w:val="23"/>
                <w:szCs w:val="23"/>
                <w:highlight w:val="none"/>
              </w:rPr>
              <w:t>2030年</w:t>
            </w:r>
          </w:p>
        </w:tc>
        <w:tc>
          <w:tcPr>
            <w:tcW w:w="870" w:type="dxa"/>
            <w:tcBorders>
              <w:top w:val="single" w:color="000000" w:sz="10" w:space="0"/>
              <w:bottom w:val="single" w:color="000000" w:sz="12" w:space="0"/>
            </w:tcBorders>
            <w:vAlign w:val="top"/>
          </w:tcPr>
          <w:p w14:paraId="6B2BF65C">
            <w:pPr>
              <w:spacing w:before="43" w:line="227" w:lineRule="auto"/>
              <w:ind w:left="108" w:right="26" w:hanging="69"/>
              <w:rPr>
                <w:rFonts w:hint="eastAsia" w:ascii="黑体" w:hAnsi="黑体" w:eastAsia="黑体" w:cs="黑体"/>
                <w:b w:val="0"/>
                <w:bCs w:val="0"/>
                <w:sz w:val="23"/>
                <w:szCs w:val="23"/>
                <w:highlight w:val="none"/>
              </w:rPr>
            </w:pPr>
            <w:r>
              <w:rPr>
                <w:rFonts w:hint="eastAsia" w:ascii="黑体" w:hAnsi="黑体" w:eastAsia="黑体" w:cs="黑体"/>
                <w:b w:val="0"/>
                <w:bCs w:val="0"/>
                <w:spacing w:val="-2"/>
                <w:sz w:val="23"/>
                <w:szCs w:val="23"/>
                <w:highlight w:val="none"/>
              </w:rPr>
              <w:t>年均/</w:t>
            </w:r>
            <w:r>
              <w:rPr>
                <w:rFonts w:hint="eastAsia" w:ascii="黑体" w:hAnsi="黑体" w:eastAsia="黑体" w:cs="黑体"/>
                <w:b w:val="0"/>
                <w:bCs w:val="0"/>
                <w:spacing w:val="-5"/>
                <w:sz w:val="23"/>
                <w:szCs w:val="23"/>
                <w:highlight w:val="none"/>
              </w:rPr>
              <w:t>累计</w:t>
            </w:r>
          </w:p>
        </w:tc>
        <w:tc>
          <w:tcPr>
            <w:tcW w:w="816" w:type="dxa"/>
            <w:tcBorders>
              <w:top w:val="single" w:color="000000" w:sz="10" w:space="0"/>
              <w:bottom w:val="single" w:color="000000" w:sz="12" w:space="0"/>
            </w:tcBorders>
            <w:vAlign w:val="top"/>
          </w:tcPr>
          <w:p w14:paraId="7C3B496D">
            <w:pPr>
              <w:spacing w:before="193" w:line="228" w:lineRule="auto"/>
              <w:ind w:left="149"/>
              <w:rPr>
                <w:rFonts w:hint="eastAsia" w:ascii="黑体" w:hAnsi="黑体" w:eastAsia="黑体" w:cs="黑体"/>
                <w:b w:val="0"/>
                <w:bCs w:val="0"/>
                <w:sz w:val="23"/>
                <w:szCs w:val="23"/>
                <w:highlight w:val="none"/>
              </w:rPr>
            </w:pPr>
            <w:r>
              <w:rPr>
                <w:rFonts w:hint="eastAsia" w:ascii="黑体" w:hAnsi="黑体" w:eastAsia="黑体" w:cs="黑体"/>
                <w:b w:val="0"/>
                <w:bCs w:val="0"/>
                <w:spacing w:val="-1"/>
                <w:sz w:val="23"/>
                <w:szCs w:val="23"/>
                <w:highlight w:val="none"/>
              </w:rPr>
              <w:t>属性</w:t>
            </w:r>
          </w:p>
        </w:tc>
      </w:tr>
      <w:tr w14:paraId="71A4D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53" w:type="dxa"/>
            <w:vMerge w:val="restart"/>
            <w:tcBorders>
              <w:top w:val="single" w:color="000000" w:sz="12" w:space="0"/>
              <w:left w:val="nil"/>
              <w:bottom w:val="nil"/>
            </w:tcBorders>
            <w:vAlign w:val="top"/>
          </w:tcPr>
          <w:p w14:paraId="2758974A">
            <w:pPr>
              <w:spacing w:line="270" w:lineRule="auto"/>
              <w:jc w:val="center"/>
              <w:rPr>
                <w:rFonts w:hint="eastAsia" w:ascii="仿宋_GB2312" w:hAnsi="仿宋_GB2312" w:eastAsia="仿宋_GB2312" w:cs="仿宋_GB2312"/>
                <w:sz w:val="24"/>
                <w:szCs w:val="24"/>
                <w:highlight w:val="none"/>
              </w:rPr>
            </w:pPr>
          </w:p>
          <w:p w14:paraId="582823FE">
            <w:pPr>
              <w:spacing w:line="270" w:lineRule="auto"/>
              <w:jc w:val="center"/>
              <w:rPr>
                <w:rFonts w:hint="eastAsia" w:ascii="仿宋_GB2312" w:hAnsi="仿宋_GB2312" w:eastAsia="仿宋_GB2312" w:cs="仿宋_GB2312"/>
                <w:sz w:val="24"/>
                <w:szCs w:val="24"/>
                <w:highlight w:val="none"/>
              </w:rPr>
            </w:pPr>
          </w:p>
          <w:p w14:paraId="4F6DFA4E">
            <w:pPr>
              <w:spacing w:line="270" w:lineRule="auto"/>
              <w:jc w:val="center"/>
              <w:rPr>
                <w:rFonts w:hint="eastAsia" w:ascii="仿宋_GB2312" w:hAnsi="仿宋_GB2312" w:eastAsia="仿宋_GB2312" w:cs="仿宋_GB2312"/>
                <w:sz w:val="24"/>
                <w:szCs w:val="24"/>
                <w:highlight w:val="none"/>
              </w:rPr>
            </w:pPr>
          </w:p>
          <w:p w14:paraId="2A855496">
            <w:pPr>
              <w:pStyle w:val="14"/>
              <w:spacing w:before="75"/>
              <w:ind w:right="87"/>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经济</w:t>
            </w:r>
            <w:r>
              <w:rPr>
                <w:rFonts w:hint="eastAsia" w:ascii="仿宋_GB2312" w:hAnsi="仿宋_GB2312" w:eastAsia="仿宋_GB2312" w:cs="仿宋_GB2312"/>
                <w:spacing w:val="-2"/>
                <w:sz w:val="24"/>
                <w:szCs w:val="24"/>
                <w:highlight w:val="none"/>
              </w:rPr>
              <w:t>发展</w:t>
            </w:r>
          </w:p>
        </w:tc>
        <w:tc>
          <w:tcPr>
            <w:tcW w:w="3947" w:type="dxa"/>
            <w:tcBorders>
              <w:top w:val="single" w:color="000000" w:sz="12" w:space="0"/>
              <w:bottom w:val="single" w:color="000000" w:sz="2" w:space="0"/>
            </w:tcBorders>
            <w:vAlign w:val="center"/>
          </w:tcPr>
          <w:p w14:paraId="4EBBB3BD">
            <w:pPr>
              <w:pStyle w:val="14"/>
              <w:spacing w:before="107" w:line="221" w:lineRule="auto"/>
              <w:ind w:left="25"/>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2"/>
                <w:sz w:val="24"/>
                <w:szCs w:val="24"/>
                <w:highlight w:val="none"/>
              </w:rPr>
              <w:t>1.地区生产总值（</w:t>
            </w:r>
            <w:r>
              <w:rPr>
                <w:rFonts w:hint="eastAsia" w:ascii="仿宋_GB2312" w:hAnsi="仿宋_GB2312" w:eastAsia="仿宋_GB2312" w:cs="仿宋_GB2312"/>
                <w:sz w:val="24"/>
                <w:szCs w:val="24"/>
                <w:highlight w:val="none"/>
              </w:rPr>
              <w:t>GDP</w:t>
            </w:r>
            <w:r>
              <w:rPr>
                <w:rFonts w:hint="eastAsia" w:ascii="仿宋_GB2312" w:hAnsi="仿宋_GB2312" w:eastAsia="仿宋_GB2312" w:cs="仿宋_GB2312"/>
                <w:spacing w:val="2"/>
                <w:sz w:val="24"/>
                <w:szCs w:val="24"/>
                <w:highlight w:val="none"/>
              </w:rPr>
              <w:t>）增长（%）</w:t>
            </w:r>
          </w:p>
        </w:tc>
        <w:tc>
          <w:tcPr>
            <w:tcW w:w="875" w:type="dxa"/>
            <w:tcBorders>
              <w:top w:val="single" w:color="000000" w:sz="12" w:space="0"/>
              <w:bottom w:val="single" w:color="000000" w:sz="2" w:space="0"/>
            </w:tcBorders>
            <w:vAlign w:val="center"/>
          </w:tcPr>
          <w:p w14:paraId="499AE7A5">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w:t>
            </w:r>
          </w:p>
        </w:tc>
        <w:tc>
          <w:tcPr>
            <w:tcW w:w="767" w:type="dxa"/>
            <w:tcBorders>
              <w:top w:val="single" w:color="000000" w:sz="12" w:space="0"/>
              <w:bottom w:val="single" w:color="000000" w:sz="2" w:space="0"/>
            </w:tcBorders>
            <w:vAlign w:val="center"/>
          </w:tcPr>
          <w:p w14:paraId="263B0DCC">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12" w:space="0"/>
              <w:bottom w:val="single" w:color="000000" w:sz="2" w:space="0"/>
            </w:tcBorders>
            <w:vAlign w:val="center"/>
          </w:tcPr>
          <w:p w14:paraId="73730C50">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w:t>
            </w:r>
          </w:p>
        </w:tc>
        <w:tc>
          <w:tcPr>
            <w:tcW w:w="816" w:type="dxa"/>
            <w:tcBorders>
              <w:top w:val="single" w:color="000000" w:sz="12" w:space="0"/>
              <w:bottom w:val="single" w:color="000000" w:sz="2" w:space="0"/>
            </w:tcBorders>
            <w:vAlign w:val="center"/>
          </w:tcPr>
          <w:p w14:paraId="20ADA78F">
            <w:pPr>
              <w:pStyle w:val="14"/>
              <w:spacing w:before="105"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19CC9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53" w:type="dxa"/>
            <w:vMerge w:val="continue"/>
            <w:tcBorders>
              <w:left w:val="nil"/>
            </w:tcBorders>
            <w:vAlign w:val="top"/>
          </w:tcPr>
          <w:p w14:paraId="01B1EF06">
            <w:pPr>
              <w:pStyle w:val="14"/>
              <w:spacing w:before="75"/>
              <w:ind w:right="87"/>
              <w:jc w:val="center"/>
              <w:rPr>
                <w:rFonts w:hint="eastAsia" w:ascii="仿宋_GB2312" w:hAnsi="仿宋_GB2312" w:eastAsia="仿宋_GB2312" w:cs="仿宋_GB2312"/>
                <w:spacing w:val="1"/>
                <w:sz w:val="24"/>
                <w:szCs w:val="24"/>
                <w:highlight w:val="none"/>
              </w:rPr>
            </w:pPr>
          </w:p>
        </w:tc>
        <w:tc>
          <w:tcPr>
            <w:tcW w:w="3947" w:type="dxa"/>
            <w:tcBorders>
              <w:top w:val="single" w:color="000000" w:sz="12" w:space="0"/>
              <w:bottom w:val="single" w:color="000000" w:sz="2" w:space="0"/>
            </w:tcBorders>
            <w:vAlign w:val="center"/>
          </w:tcPr>
          <w:p w14:paraId="2C11DBF8">
            <w:pPr>
              <w:pStyle w:val="14"/>
              <w:spacing w:before="107" w:line="221" w:lineRule="auto"/>
              <w:ind w:left="25"/>
              <w:jc w:val="left"/>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2.规模以上制造业增加值增长（%）</w:t>
            </w:r>
          </w:p>
        </w:tc>
        <w:tc>
          <w:tcPr>
            <w:tcW w:w="875" w:type="dxa"/>
            <w:tcBorders>
              <w:top w:val="single" w:color="000000" w:sz="12" w:space="0"/>
              <w:bottom w:val="single" w:color="000000" w:sz="2" w:space="0"/>
            </w:tcBorders>
            <w:vAlign w:val="center"/>
          </w:tcPr>
          <w:p w14:paraId="40DC1027">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12" w:space="0"/>
              <w:bottom w:val="single" w:color="000000" w:sz="2" w:space="0"/>
            </w:tcBorders>
            <w:vAlign w:val="center"/>
          </w:tcPr>
          <w:p w14:paraId="293E5AB9">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12" w:space="0"/>
              <w:bottom w:val="single" w:color="000000" w:sz="2" w:space="0"/>
            </w:tcBorders>
            <w:vAlign w:val="center"/>
          </w:tcPr>
          <w:p w14:paraId="24849E2D">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w:t>
            </w:r>
          </w:p>
        </w:tc>
        <w:tc>
          <w:tcPr>
            <w:tcW w:w="816" w:type="dxa"/>
            <w:tcBorders>
              <w:top w:val="single" w:color="000000" w:sz="12" w:space="0"/>
              <w:bottom w:val="single" w:color="000000" w:sz="2" w:space="0"/>
            </w:tcBorders>
            <w:vAlign w:val="center"/>
          </w:tcPr>
          <w:p w14:paraId="3BE853D8">
            <w:pPr>
              <w:pStyle w:val="14"/>
              <w:spacing w:before="105" w:line="227" w:lineRule="auto"/>
              <w:ind w:left="31"/>
              <w:jc w:val="center"/>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预期性</w:t>
            </w:r>
          </w:p>
        </w:tc>
      </w:tr>
      <w:tr w14:paraId="0A813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653" w:type="dxa"/>
            <w:vMerge w:val="continue"/>
            <w:tcBorders>
              <w:top w:val="nil"/>
              <w:left w:val="nil"/>
              <w:bottom w:val="nil"/>
            </w:tcBorders>
            <w:vAlign w:val="top"/>
          </w:tcPr>
          <w:p w14:paraId="0E91A3CD">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2B099F79">
            <w:pPr>
              <w:pStyle w:val="14"/>
              <w:spacing w:before="122" w:line="221"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trike w:val="0"/>
                <w:dstrike w:val="0"/>
                <w:spacing w:val="-1"/>
                <w:sz w:val="24"/>
                <w:szCs w:val="24"/>
                <w:highlight w:val="none"/>
                <w:lang w:val="en-US" w:eastAsia="zh-CN"/>
              </w:rPr>
              <w:t>3</w:t>
            </w:r>
            <w:r>
              <w:rPr>
                <w:rFonts w:hint="eastAsia" w:ascii="仿宋_GB2312" w:hAnsi="仿宋_GB2312" w:eastAsia="仿宋_GB2312" w:cs="仿宋_GB2312"/>
                <w:strike w:val="0"/>
                <w:dstrike w:val="0"/>
                <w:spacing w:val="-1"/>
                <w:sz w:val="24"/>
                <w:szCs w:val="24"/>
                <w:highlight w:val="none"/>
              </w:rPr>
              <w:t>.民营经济增加值占GDP比重（%）</w:t>
            </w:r>
          </w:p>
        </w:tc>
        <w:tc>
          <w:tcPr>
            <w:tcW w:w="875" w:type="dxa"/>
            <w:tcBorders>
              <w:top w:val="single" w:color="000000" w:sz="2" w:space="0"/>
              <w:bottom w:val="single" w:color="000000" w:sz="2" w:space="0"/>
            </w:tcBorders>
            <w:vAlign w:val="center"/>
          </w:tcPr>
          <w:p w14:paraId="3E43F4B9">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1B8ECF5B">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6D36C848">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w:t>
            </w:r>
          </w:p>
        </w:tc>
        <w:tc>
          <w:tcPr>
            <w:tcW w:w="816" w:type="dxa"/>
            <w:tcBorders>
              <w:top w:val="single" w:color="000000" w:sz="2" w:space="0"/>
              <w:bottom w:val="single" w:color="000000" w:sz="2" w:space="0"/>
            </w:tcBorders>
            <w:vAlign w:val="center"/>
          </w:tcPr>
          <w:p w14:paraId="37BF86DE">
            <w:pPr>
              <w:pStyle w:val="14"/>
              <w:spacing w:before="120"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301F6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653" w:type="dxa"/>
            <w:vMerge w:val="continue"/>
            <w:tcBorders>
              <w:top w:val="nil"/>
              <w:left w:val="nil"/>
              <w:bottom w:val="nil"/>
            </w:tcBorders>
            <w:vAlign w:val="top"/>
          </w:tcPr>
          <w:p w14:paraId="72F502F4">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7AFCDCA1">
            <w:pPr>
              <w:pStyle w:val="14"/>
              <w:spacing w:before="121" w:line="221" w:lineRule="auto"/>
              <w:jc w:val="left"/>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1"/>
                <w:sz w:val="24"/>
                <w:szCs w:val="24"/>
                <w:highlight w:val="none"/>
                <w:lang w:val="en-US" w:eastAsia="zh-CN"/>
              </w:rPr>
              <w:t>4</w:t>
            </w:r>
            <w:r>
              <w:rPr>
                <w:rFonts w:hint="eastAsia" w:ascii="仿宋_GB2312" w:hAnsi="仿宋_GB2312" w:eastAsia="仿宋_GB2312" w:cs="仿宋_GB2312"/>
                <w:spacing w:val="-1"/>
                <w:sz w:val="24"/>
                <w:szCs w:val="24"/>
                <w:highlight w:val="none"/>
              </w:rPr>
              <w:t>.</w:t>
            </w:r>
            <w:r>
              <w:rPr>
                <w:rFonts w:hint="eastAsia" w:ascii="仿宋_GB2312" w:hAnsi="仿宋_GB2312" w:eastAsia="仿宋_GB2312" w:cs="仿宋_GB2312"/>
                <w:spacing w:val="-1"/>
                <w:sz w:val="24"/>
                <w:szCs w:val="24"/>
                <w:highlight w:val="none"/>
                <w:lang w:val="en-US" w:eastAsia="zh-CN"/>
              </w:rPr>
              <w:t>区</w:t>
            </w:r>
            <w:r>
              <w:rPr>
                <w:rFonts w:hint="eastAsia" w:ascii="仿宋_GB2312" w:hAnsi="仿宋_GB2312" w:eastAsia="仿宋_GB2312" w:cs="仿宋_GB2312"/>
                <w:spacing w:val="-1"/>
                <w:sz w:val="24"/>
                <w:szCs w:val="24"/>
                <w:highlight w:val="none"/>
              </w:rPr>
              <w:t>域</w:t>
            </w:r>
            <w:r>
              <w:rPr>
                <w:rFonts w:hint="eastAsia" w:ascii="仿宋_GB2312" w:hAnsi="仿宋_GB2312" w:eastAsia="仿宋_GB2312" w:cs="仿宋_GB2312"/>
                <w:spacing w:val="-1"/>
                <w:sz w:val="24"/>
                <w:szCs w:val="24"/>
                <w:highlight w:val="none"/>
                <w:lang w:val="en-US" w:eastAsia="zh-CN"/>
              </w:rPr>
              <w:t>地区生产总值增长（%）</w:t>
            </w:r>
          </w:p>
        </w:tc>
        <w:tc>
          <w:tcPr>
            <w:tcW w:w="875" w:type="dxa"/>
            <w:tcBorders>
              <w:top w:val="single" w:color="000000" w:sz="2" w:space="0"/>
              <w:bottom w:val="single" w:color="000000" w:sz="2" w:space="0"/>
            </w:tcBorders>
            <w:vAlign w:val="center"/>
          </w:tcPr>
          <w:p w14:paraId="11876125">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13182398">
            <w:pPr>
              <w:pStyle w:val="14"/>
              <w:spacing w:before="107" w:line="221" w:lineRule="auto"/>
              <w:ind w:left="25"/>
              <w:jc w:val="center"/>
              <w:rPr>
                <w:rFonts w:hint="eastAsia" w:ascii="仿宋_GB2312" w:hAnsi="仿宋_GB2312" w:eastAsia="仿宋_GB2312" w:cs="仿宋_GB2312"/>
                <w:spacing w:val="2"/>
                <w:sz w:val="24"/>
                <w:szCs w:val="24"/>
                <w:highlight w:val="none"/>
                <w:lang w:eastAsia="zh-CN"/>
              </w:rPr>
            </w:pPr>
            <w:r>
              <w:rPr>
                <w:rFonts w:hint="eastAsia" w:ascii="仿宋_GB2312" w:hAnsi="仿宋_GB2312" w:eastAsia="仿宋_GB2312" w:cs="仿宋_GB2312"/>
                <w:spacing w:val="2"/>
                <w:sz w:val="24"/>
                <w:szCs w:val="24"/>
                <w:highlight w:val="none"/>
                <w:lang w:eastAsia="zh-CN"/>
              </w:rPr>
              <w:t>——</w:t>
            </w:r>
          </w:p>
        </w:tc>
        <w:tc>
          <w:tcPr>
            <w:tcW w:w="870" w:type="dxa"/>
            <w:tcBorders>
              <w:top w:val="single" w:color="000000" w:sz="2" w:space="0"/>
              <w:bottom w:val="single" w:color="000000" w:sz="2" w:space="0"/>
            </w:tcBorders>
            <w:vAlign w:val="center"/>
          </w:tcPr>
          <w:p w14:paraId="7552DF06">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6</w:t>
            </w:r>
          </w:p>
        </w:tc>
        <w:tc>
          <w:tcPr>
            <w:tcW w:w="816" w:type="dxa"/>
            <w:tcBorders>
              <w:top w:val="single" w:color="000000" w:sz="2" w:space="0"/>
              <w:bottom w:val="single" w:color="000000" w:sz="2" w:space="0"/>
            </w:tcBorders>
            <w:vAlign w:val="center"/>
          </w:tcPr>
          <w:p w14:paraId="5234CB46">
            <w:pPr>
              <w:pStyle w:val="14"/>
              <w:spacing w:before="119"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10987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653" w:type="dxa"/>
            <w:vMerge w:val="continue"/>
            <w:tcBorders>
              <w:top w:val="nil"/>
              <w:left w:val="nil"/>
              <w:bottom w:val="nil"/>
            </w:tcBorders>
            <w:vAlign w:val="top"/>
          </w:tcPr>
          <w:p w14:paraId="75468F6C">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00C2C8A2">
            <w:pPr>
              <w:pStyle w:val="14"/>
              <w:spacing w:before="122" w:line="221"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5</w:t>
            </w:r>
            <w:r>
              <w:rPr>
                <w:rFonts w:hint="eastAsia" w:ascii="仿宋_GB2312" w:hAnsi="仿宋_GB2312" w:eastAsia="仿宋_GB2312" w:cs="仿宋_GB2312"/>
                <w:spacing w:val="6"/>
                <w:sz w:val="24"/>
                <w:szCs w:val="24"/>
                <w:highlight w:val="none"/>
              </w:rPr>
              <w:t>.全员劳动生产率增长（%）</w:t>
            </w:r>
          </w:p>
        </w:tc>
        <w:tc>
          <w:tcPr>
            <w:tcW w:w="875" w:type="dxa"/>
            <w:tcBorders>
              <w:top w:val="single" w:color="000000" w:sz="2" w:space="0"/>
              <w:bottom w:val="single" w:color="000000" w:sz="2" w:space="0"/>
            </w:tcBorders>
            <w:vAlign w:val="center"/>
          </w:tcPr>
          <w:p w14:paraId="47F4C405">
            <w:pPr>
              <w:pStyle w:val="14"/>
              <w:spacing w:before="107" w:line="221" w:lineRule="auto"/>
              <w:ind w:left="25"/>
              <w:jc w:val="center"/>
              <w:rPr>
                <w:rFonts w:hint="eastAsia" w:ascii="仿宋_GB2312" w:hAnsi="仿宋_GB2312" w:eastAsia="仿宋_GB2312" w:cs="仿宋_GB2312"/>
                <w:spacing w:val="2"/>
                <w:sz w:val="24"/>
                <w:szCs w:val="24"/>
                <w:highlight w:val="none"/>
                <w:lang w:eastAsia="zh-CN"/>
              </w:rPr>
            </w:pPr>
            <w:r>
              <w:rPr>
                <w:rFonts w:hint="eastAsia" w:ascii="仿宋_GB2312" w:hAnsi="仿宋_GB2312" w:eastAsia="仿宋_GB2312" w:cs="仿宋_GB2312"/>
                <w:spacing w:val="2"/>
                <w:sz w:val="24"/>
                <w:szCs w:val="24"/>
                <w:highlight w:val="none"/>
                <w:lang w:eastAsia="zh-CN"/>
              </w:rPr>
              <w:t>——</w:t>
            </w:r>
          </w:p>
        </w:tc>
        <w:tc>
          <w:tcPr>
            <w:tcW w:w="767" w:type="dxa"/>
            <w:tcBorders>
              <w:top w:val="single" w:color="000000" w:sz="2" w:space="0"/>
              <w:bottom w:val="single" w:color="000000" w:sz="2" w:space="0"/>
            </w:tcBorders>
            <w:vAlign w:val="center"/>
          </w:tcPr>
          <w:p w14:paraId="5958ACCF">
            <w:pPr>
              <w:pStyle w:val="14"/>
              <w:spacing w:before="107" w:line="221" w:lineRule="auto"/>
              <w:ind w:left="25"/>
              <w:jc w:val="center"/>
              <w:rPr>
                <w:rFonts w:hint="eastAsia" w:ascii="仿宋_GB2312" w:hAnsi="仿宋_GB2312" w:eastAsia="仿宋_GB2312" w:cs="仿宋_GB2312"/>
                <w:spacing w:val="2"/>
                <w:sz w:val="24"/>
                <w:szCs w:val="24"/>
                <w:highlight w:val="none"/>
              </w:rPr>
            </w:pPr>
            <w:r>
              <w:rPr>
                <w:rFonts w:hint="eastAsia" w:ascii="仿宋_GB2312" w:hAnsi="仿宋_GB2312" w:eastAsia="仿宋_GB2312" w:cs="仿宋_GB2312"/>
                <w:spacing w:val="2"/>
                <w:sz w:val="24"/>
                <w:szCs w:val="24"/>
                <w:highlight w:val="none"/>
              </w:rPr>
              <w:t>——</w:t>
            </w:r>
          </w:p>
        </w:tc>
        <w:tc>
          <w:tcPr>
            <w:tcW w:w="870" w:type="dxa"/>
            <w:tcBorders>
              <w:top w:val="single" w:color="000000" w:sz="2" w:space="0"/>
              <w:bottom w:val="single" w:color="000000" w:sz="2" w:space="0"/>
            </w:tcBorders>
            <w:vAlign w:val="center"/>
          </w:tcPr>
          <w:p w14:paraId="18CBB005">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6</w:t>
            </w:r>
          </w:p>
        </w:tc>
        <w:tc>
          <w:tcPr>
            <w:tcW w:w="816" w:type="dxa"/>
            <w:tcBorders>
              <w:top w:val="single" w:color="000000" w:sz="2" w:space="0"/>
              <w:bottom w:val="single" w:color="000000" w:sz="2" w:space="0"/>
            </w:tcBorders>
            <w:vAlign w:val="center"/>
          </w:tcPr>
          <w:p w14:paraId="4CAD3B6E">
            <w:pPr>
              <w:pStyle w:val="14"/>
              <w:spacing w:before="120"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410B7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653" w:type="dxa"/>
            <w:vMerge w:val="continue"/>
            <w:tcBorders>
              <w:top w:val="nil"/>
              <w:left w:val="nil"/>
              <w:bottom w:val="nil"/>
            </w:tcBorders>
            <w:vAlign w:val="top"/>
          </w:tcPr>
          <w:p w14:paraId="78CED8A7">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0A822160">
            <w:pPr>
              <w:pStyle w:val="14"/>
              <w:spacing w:before="195" w:line="221" w:lineRule="auto"/>
              <w:ind w:left="21"/>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6</w:t>
            </w:r>
            <w:r>
              <w:rPr>
                <w:rFonts w:hint="eastAsia" w:ascii="仿宋_GB2312" w:hAnsi="仿宋_GB2312" w:eastAsia="仿宋_GB2312" w:cs="仿宋_GB2312"/>
                <w:spacing w:val="6"/>
                <w:sz w:val="24"/>
                <w:szCs w:val="24"/>
                <w:highlight w:val="none"/>
              </w:rPr>
              <w:t>.常住人口城镇化率（%）</w:t>
            </w:r>
          </w:p>
        </w:tc>
        <w:tc>
          <w:tcPr>
            <w:tcW w:w="875" w:type="dxa"/>
            <w:tcBorders>
              <w:top w:val="single" w:color="000000" w:sz="2" w:space="0"/>
              <w:bottom w:val="single" w:color="000000" w:sz="2" w:space="0"/>
            </w:tcBorders>
            <w:vAlign w:val="center"/>
          </w:tcPr>
          <w:p w14:paraId="63245BCE">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449FAAEC">
            <w:pPr>
              <w:pStyle w:val="14"/>
              <w:spacing w:before="107" w:line="221" w:lineRule="auto"/>
              <w:ind w:left="25"/>
              <w:jc w:val="center"/>
              <w:rPr>
                <w:rFonts w:hint="eastAsia" w:ascii="仿宋_GB2312" w:hAnsi="仿宋_GB2312" w:eastAsia="仿宋_GB2312" w:cs="仿宋_GB2312"/>
                <w:spacing w:val="2"/>
                <w:sz w:val="24"/>
                <w:szCs w:val="24"/>
                <w:highlight w:val="none"/>
              </w:rPr>
            </w:pPr>
            <w:r>
              <w:rPr>
                <w:rFonts w:hint="eastAsia" w:ascii="仿宋_GB2312" w:hAnsi="仿宋_GB2312" w:eastAsia="仿宋_GB2312" w:cs="仿宋_GB2312"/>
                <w:spacing w:val="2"/>
                <w:sz w:val="24"/>
                <w:szCs w:val="24"/>
                <w:highlight w:val="none"/>
                <w:lang w:val="en-US" w:eastAsia="zh-CN"/>
              </w:rPr>
              <w:t>67</w:t>
            </w:r>
          </w:p>
        </w:tc>
        <w:tc>
          <w:tcPr>
            <w:tcW w:w="870" w:type="dxa"/>
            <w:tcBorders>
              <w:top w:val="single" w:color="000000" w:sz="2" w:space="0"/>
              <w:bottom w:val="single" w:color="000000" w:sz="2" w:space="0"/>
            </w:tcBorders>
            <w:vAlign w:val="center"/>
          </w:tcPr>
          <w:p w14:paraId="156F58F0">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7358A38A">
            <w:pPr>
              <w:pStyle w:val="14"/>
              <w:spacing w:before="193"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500DE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53" w:type="dxa"/>
            <w:vMerge w:val="restart"/>
            <w:tcBorders>
              <w:top w:val="single" w:color="000000" w:sz="12" w:space="0"/>
              <w:left w:val="nil"/>
              <w:bottom w:val="single" w:color="000000" w:sz="2" w:space="0"/>
            </w:tcBorders>
            <w:vAlign w:val="top"/>
          </w:tcPr>
          <w:p w14:paraId="03F602ED">
            <w:pPr>
              <w:spacing w:line="283" w:lineRule="auto"/>
              <w:jc w:val="center"/>
              <w:rPr>
                <w:rFonts w:hint="eastAsia" w:ascii="仿宋_GB2312" w:hAnsi="仿宋_GB2312" w:eastAsia="仿宋_GB2312" w:cs="仿宋_GB2312"/>
                <w:sz w:val="24"/>
                <w:szCs w:val="24"/>
                <w:highlight w:val="none"/>
              </w:rPr>
            </w:pPr>
          </w:p>
          <w:p w14:paraId="4CC9872F">
            <w:pPr>
              <w:pStyle w:val="14"/>
              <w:spacing w:before="75"/>
              <w:ind w:right="87"/>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创新</w:t>
            </w:r>
          </w:p>
          <w:p w14:paraId="66BBEF3B">
            <w:pPr>
              <w:pStyle w:val="14"/>
              <w:spacing w:before="75"/>
              <w:ind w:right="87"/>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驱动</w:t>
            </w:r>
          </w:p>
        </w:tc>
        <w:tc>
          <w:tcPr>
            <w:tcW w:w="3947" w:type="dxa"/>
            <w:tcBorders>
              <w:top w:val="single" w:color="000000" w:sz="12" w:space="0"/>
              <w:bottom w:val="single" w:color="000000" w:sz="2" w:space="0"/>
            </w:tcBorders>
            <w:vAlign w:val="center"/>
          </w:tcPr>
          <w:p w14:paraId="490C950B">
            <w:pPr>
              <w:pStyle w:val="14"/>
              <w:spacing w:before="117" w:line="221" w:lineRule="auto"/>
              <w:ind w:left="21"/>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7</w:t>
            </w:r>
            <w:r>
              <w:rPr>
                <w:rFonts w:hint="eastAsia" w:ascii="仿宋_GB2312" w:hAnsi="仿宋_GB2312" w:eastAsia="仿宋_GB2312" w:cs="仿宋_GB2312"/>
                <w:spacing w:val="7"/>
                <w:sz w:val="24"/>
                <w:szCs w:val="24"/>
                <w:highlight w:val="none"/>
              </w:rPr>
              <w:t>.全社会研发经费投入增长（%）</w:t>
            </w:r>
          </w:p>
        </w:tc>
        <w:tc>
          <w:tcPr>
            <w:tcW w:w="875" w:type="dxa"/>
            <w:tcBorders>
              <w:top w:val="single" w:color="000000" w:sz="12" w:space="0"/>
              <w:bottom w:val="single" w:color="000000" w:sz="2" w:space="0"/>
            </w:tcBorders>
            <w:vAlign w:val="center"/>
          </w:tcPr>
          <w:p w14:paraId="0C05393D">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12" w:space="0"/>
              <w:bottom w:val="single" w:color="000000" w:sz="2" w:space="0"/>
            </w:tcBorders>
            <w:vAlign w:val="center"/>
          </w:tcPr>
          <w:p w14:paraId="391FBB5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12" w:space="0"/>
              <w:bottom w:val="single" w:color="000000" w:sz="2" w:space="0"/>
            </w:tcBorders>
            <w:vAlign w:val="center"/>
          </w:tcPr>
          <w:p w14:paraId="0797FCEA">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1.5</w:t>
            </w:r>
          </w:p>
        </w:tc>
        <w:tc>
          <w:tcPr>
            <w:tcW w:w="816" w:type="dxa"/>
            <w:tcBorders>
              <w:top w:val="single" w:color="000000" w:sz="12" w:space="0"/>
              <w:bottom w:val="single" w:color="000000" w:sz="2" w:space="0"/>
            </w:tcBorders>
            <w:vAlign w:val="center"/>
          </w:tcPr>
          <w:p w14:paraId="19DD8110">
            <w:pPr>
              <w:pStyle w:val="14"/>
              <w:spacing w:before="115"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4B4AF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653" w:type="dxa"/>
            <w:vMerge w:val="continue"/>
            <w:tcBorders>
              <w:top w:val="single" w:color="000000" w:sz="2" w:space="0"/>
              <w:left w:val="nil"/>
              <w:bottom w:val="single" w:color="000000" w:sz="2" w:space="0"/>
            </w:tcBorders>
            <w:vAlign w:val="top"/>
          </w:tcPr>
          <w:p w14:paraId="53D263C3">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6A22251C">
            <w:pPr>
              <w:pStyle w:val="14"/>
              <w:spacing w:before="43" w:line="223" w:lineRule="auto"/>
              <w:ind w:left="16" w:right="170" w:firstLine="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8</w:t>
            </w:r>
            <w:r>
              <w:rPr>
                <w:rFonts w:hint="eastAsia" w:ascii="仿宋_GB2312" w:hAnsi="仿宋_GB2312" w:eastAsia="仿宋_GB2312" w:cs="仿宋_GB2312"/>
                <w:spacing w:val="7"/>
                <w:sz w:val="24"/>
                <w:szCs w:val="24"/>
                <w:highlight w:val="none"/>
              </w:rPr>
              <w:t>.每万人口高价值发明专利拥有</w:t>
            </w:r>
            <w:r>
              <w:rPr>
                <w:rFonts w:hint="eastAsia" w:ascii="仿宋_GB2312" w:hAnsi="仿宋_GB2312" w:eastAsia="仿宋_GB2312" w:cs="仿宋_GB2312"/>
                <w:spacing w:val="4"/>
                <w:sz w:val="24"/>
                <w:szCs w:val="24"/>
                <w:highlight w:val="none"/>
              </w:rPr>
              <w:t>量（件）</w:t>
            </w:r>
          </w:p>
        </w:tc>
        <w:tc>
          <w:tcPr>
            <w:tcW w:w="875" w:type="dxa"/>
            <w:tcBorders>
              <w:top w:val="single" w:color="000000" w:sz="2" w:space="0"/>
              <w:bottom w:val="single" w:color="000000" w:sz="2" w:space="0"/>
            </w:tcBorders>
            <w:vAlign w:val="center"/>
          </w:tcPr>
          <w:p w14:paraId="1106991C">
            <w:pPr>
              <w:pStyle w:val="14"/>
              <w:spacing w:before="107" w:line="221" w:lineRule="auto"/>
              <w:ind w:left="25"/>
              <w:jc w:val="center"/>
              <w:rPr>
                <w:rFonts w:hint="eastAsia" w:ascii="仿宋_GB2312" w:hAnsi="仿宋_GB2312" w:eastAsia="仿宋_GB2312" w:cs="仿宋_GB2312"/>
                <w:spacing w:val="2"/>
                <w:sz w:val="24"/>
                <w:szCs w:val="24"/>
                <w:highlight w:val="none"/>
                <w:lang w:eastAsia="zh-CN"/>
              </w:rPr>
            </w:pPr>
            <w:r>
              <w:rPr>
                <w:rFonts w:hint="eastAsia" w:ascii="仿宋_GB2312" w:hAnsi="仿宋_GB2312" w:eastAsia="仿宋_GB2312" w:cs="仿宋_GB2312"/>
                <w:spacing w:val="2"/>
                <w:sz w:val="24"/>
                <w:szCs w:val="24"/>
                <w:highlight w:val="none"/>
                <w:lang w:val="en-US" w:eastAsia="zh-CN"/>
              </w:rPr>
              <w:t>0</w:t>
            </w:r>
          </w:p>
        </w:tc>
        <w:tc>
          <w:tcPr>
            <w:tcW w:w="767" w:type="dxa"/>
            <w:tcBorders>
              <w:top w:val="single" w:color="000000" w:sz="2" w:space="0"/>
              <w:bottom w:val="single" w:color="000000" w:sz="2" w:space="0"/>
            </w:tcBorders>
            <w:vAlign w:val="center"/>
          </w:tcPr>
          <w:p w14:paraId="79C2FE8E">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0.5</w:t>
            </w:r>
          </w:p>
        </w:tc>
        <w:tc>
          <w:tcPr>
            <w:tcW w:w="870" w:type="dxa"/>
            <w:tcBorders>
              <w:top w:val="single" w:color="000000" w:sz="2" w:space="0"/>
              <w:bottom w:val="single" w:color="000000" w:sz="2" w:space="0"/>
            </w:tcBorders>
            <w:vAlign w:val="center"/>
          </w:tcPr>
          <w:p w14:paraId="43EF64F0">
            <w:pPr>
              <w:pStyle w:val="14"/>
              <w:spacing w:before="107" w:line="221" w:lineRule="auto"/>
              <w:ind w:left="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7CA5A2E1">
            <w:pPr>
              <w:pStyle w:val="14"/>
              <w:spacing w:before="194"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763FF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653" w:type="dxa"/>
            <w:vMerge w:val="continue"/>
            <w:tcBorders>
              <w:top w:val="single" w:color="000000" w:sz="2" w:space="0"/>
              <w:left w:val="nil"/>
              <w:bottom w:val="single" w:color="000000" w:sz="2" w:space="0"/>
            </w:tcBorders>
            <w:vAlign w:val="top"/>
          </w:tcPr>
          <w:p w14:paraId="64F194C3">
            <w:pPr>
              <w:jc w:val="cente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4957D2A0">
            <w:pPr>
              <w:pStyle w:val="14"/>
              <w:spacing w:before="45" w:line="222" w:lineRule="auto"/>
              <w:ind w:left="45" w:right="5" w:hanging="2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9</w:t>
            </w:r>
            <w:r>
              <w:rPr>
                <w:rFonts w:hint="eastAsia" w:ascii="仿宋_GB2312" w:hAnsi="仿宋_GB2312" w:eastAsia="仿宋_GB2312" w:cs="仿宋_GB2312"/>
                <w:spacing w:val="7"/>
                <w:sz w:val="24"/>
                <w:szCs w:val="24"/>
                <w:highlight w:val="none"/>
              </w:rPr>
              <w:t>.数字经济核心产业增加值</w:t>
            </w:r>
            <w:r>
              <w:rPr>
                <w:rFonts w:hint="eastAsia" w:ascii="仿宋_GB2312" w:hAnsi="仿宋_GB2312" w:eastAsia="仿宋_GB2312" w:cs="仿宋_GB2312"/>
                <w:spacing w:val="-2"/>
                <w:sz w:val="24"/>
                <w:szCs w:val="24"/>
                <w:highlight w:val="none"/>
              </w:rPr>
              <w:t>（%）</w:t>
            </w:r>
          </w:p>
        </w:tc>
        <w:tc>
          <w:tcPr>
            <w:tcW w:w="875" w:type="dxa"/>
            <w:tcBorders>
              <w:top w:val="single" w:color="000000" w:sz="2" w:space="0"/>
              <w:bottom w:val="single" w:color="000000" w:sz="2" w:space="0"/>
            </w:tcBorders>
            <w:vAlign w:val="center"/>
          </w:tcPr>
          <w:p w14:paraId="75FD7D5F">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39A505E9">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753392EE">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69A441D5">
            <w:pPr>
              <w:pStyle w:val="14"/>
              <w:spacing w:before="194"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6E781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53" w:type="dxa"/>
            <w:vMerge w:val="restart"/>
            <w:tcBorders>
              <w:top w:val="single" w:color="000000" w:sz="12" w:space="0"/>
              <w:left w:val="nil"/>
              <w:bottom w:val="single" w:color="000000" w:sz="2" w:space="0"/>
            </w:tcBorders>
            <w:vAlign w:val="top"/>
          </w:tcPr>
          <w:p w14:paraId="54BDB4BD">
            <w:pPr>
              <w:spacing w:line="259" w:lineRule="auto"/>
              <w:jc w:val="center"/>
              <w:rPr>
                <w:rFonts w:hint="eastAsia" w:ascii="仿宋_GB2312" w:hAnsi="仿宋_GB2312" w:eastAsia="仿宋_GB2312" w:cs="仿宋_GB2312"/>
                <w:sz w:val="24"/>
                <w:szCs w:val="24"/>
                <w:highlight w:val="none"/>
              </w:rPr>
            </w:pPr>
          </w:p>
          <w:p w14:paraId="2BA6FF8A">
            <w:pPr>
              <w:spacing w:line="259" w:lineRule="auto"/>
              <w:jc w:val="center"/>
              <w:rPr>
                <w:rFonts w:hint="eastAsia" w:ascii="仿宋_GB2312" w:hAnsi="仿宋_GB2312" w:eastAsia="仿宋_GB2312" w:cs="仿宋_GB2312"/>
                <w:sz w:val="24"/>
                <w:szCs w:val="24"/>
                <w:highlight w:val="none"/>
              </w:rPr>
            </w:pPr>
          </w:p>
          <w:p w14:paraId="20BFAFF5">
            <w:pPr>
              <w:spacing w:line="259" w:lineRule="auto"/>
              <w:jc w:val="center"/>
              <w:rPr>
                <w:rFonts w:hint="eastAsia" w:ascii="仿宋_GB2312" w:hAnsi="仿宋_GB2312" w:eastAsia="仿宋_GB2312" w:cs="仿宋_GB2312"/>
                <w:sz w:val="24"/>
                <w:szCs w:val="24"/>
                <w:highlight w:val="none"/>
              </w:rPr>
            </w:pPr>
          </w:p>
          <w:p w14:paraId="7B882FED">
            <w:pPr>
              <w:spacing w:line="259" w:lineRule="auto"/>
              <w:jc w:val="center"/>
              <w:rPr>
                <w:rFonts w:hint="eastAsia" w:ascii="仿宋_GB2312" w:hAnsi="仿宋_GB2312" w:eastAsia="仿宋_GB2312" w:cs="仿宋_GB2312"/>
                <w:sz w:val="24"/>
                <w:szCs w:val="24"/>
                <w:highlight w:val="none"/>
              </w:rPr>
            </w:pPr>
          </w:p>
          <w:p w14:paraId="646AF8A4">
            <w:pPr>
              <w:spacing w:line="259" w:lineRule="auto"/>
              <w:jc w:val="center"/>
              <w:rPr>
                <w:rFonts w:hint="eastAsia" w:ascii="仿宋_GB2312" w:hAnsi="仿宋_GB2312" w:eastAsia="仿宋_GB2312" w:cs="仿宋_GB2312"/>
                <w:sz w:val="24"/>
                <w:szCs w:val="24"/>
                <w:highlight w:val="none"/>
              </w:rPr>
            </w:pPr>
          </w:p>
          <w:p w14:paraId="284BB138">
            <w:pPr>
              <w:pStyle w:val="14"/>
              <w:spacing w:before="75"/>
              <w:ind w:right="87"/>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4"/>
                <w:sz w:val="24"/>
                <w:szCs w:val="24"/>
                <w:highlight w:val="none"/>
              </w:rPr>
              <w:t>民生</w:t>
            </w:r>
            <w:r>
              <w:rPr>
                <w:rFonts w:hint="eastAsia" w:ascii="仿宋_GB2312" w:hAnsi="仿宋_GB2312" w:eastAsia="仿宋_GB2312" w:cs="仿宋_GB2312"/>
                <w:spacing w:val="1"/>
                <w:sz w:val="24"/>
                <w:szCs w:val="24"/>
                <w:highlight w:val="none"/>
              </w:rPr>
              <w:t>福祉</w:t>
            </w:r>
          </w:p>
        </w:tc>
        <w:tc>
          <w:tcPr>
            <w:tcW w:w="3947" w:type="dxa"/>
            <w:tcBorders>
              <w:top w:val="single" w:color="000000" w:sz="12" w:space="0"/>
              <w:bottom w:val="single" w:color="000000" w:sz="2" w:space="0"/>
            </w:tcBorders>
            <w:vAlign w:val="center"/>
          </w:tcPr>
          <w:p w14:paraId="436AF9F1">
            <w:pPr>
              <w:pStyle w:val="14"/>
              <w:spacing w:before="118" w:line="221" w:lineRule="auto"/>
              <w:ind w:left="25"/>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10</w:t>
            </w:r>
            <w:r>
              <w:rPr>
                <w:rFonts w:hint="eastAsia" w:ascii="仿宋_GB2312" w:hAnsi="仿宋_GB2312" w:eastAsia="仿宋_GB2312" w:cs="仿宋_GB2312"/>
                <w:spacing w:val="6"/>
                <w:sz w:val="24"/>
                <w:szCs w:val="24"/>
                <w:highlight w:val="none"/>
              </w:rPr>
              <w:t>.城镇调查失业率（%）</w:t>
            </w:r>
          </w:p>
        </w:tc>
        <w:tc>
          <w:tcPr>
            <w:tcW w:w="875" w:type="dxa"/>
            <w:tcBorders>
              <w:top w:val="single" w:color="000000" w:sz="12" w:space="0"/>
              <w:bottom w:val="single" w:color="000000" w:sz="2" w:space="0"/>
            </w:tcBorders>
            <w:vAlign w:val="center"/>
          </w:tcPr>
          <w:p w14:paraId="0F83EB3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5.2%</w:t>
            </w:r>
          </w:p>
        </w:tc>
        <w:tc>
          <w:tcPr>
            <w:tcW w:w="767" w:type="dxa"/>
            <w:tcBorders>
              <w:top w:val="single" w:color="000000" w:sz="12" w:space="0"/>
              <w:bottom w:val="single" w:color="000000" w:sz="2" w:space="0"/>
            </w:tcBorders>
            <w:vAlign w:val="center"/>
          </w:tcPr>
          <w:p w14:paraId="597109A8">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&lt;5.5%</w:t>
            </w:r>
          </w:p>
        </w:tc>
        <w:tc>
          <w:tcPr>
            <w:tcW w:w="870" w:type="dxa"/>
            <w:tcBorders>
              <w:top w:val="single" w:color="000000" w:sz="12" w:space="0"/>
              <w:bottom w:val="single" w:color="000000" w:sz="2" w:space="0"/>
            </w:tcBorders>
            <w:vAlign w:val="center"/>
          </w:tcPr>
          <w:p w14:paraId="28131456">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12" w:space="0"/>
              <w:bottom w:val="single" w:color="000000" w:sz="2" w:space="0"/>
            </w:tcBorders>
            <w:vAlign w:val="center"/>
          </w:tcPr>
          <w:p w14:paraId="1864A8A0">
            <w:pPr>
              <w:pStyle w:val="14"/>
              <w:spacing w:before="116"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5292E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653" w:type="dxa"/>
            <w:vMerge w:val="continue"/>
            <w:tcBorders>
              <w:top w:val="single" w:color="000000" w:sz="2" w:space="0"/>
              <w:left w:val="nil"/>
              <w:bottom w:val="single" w:color="000000" w:sz="2" w:space="0"/>
            </w:tcBorders>
            <w:vAlign w:val="top"/>
          </w:tcPr>
          <w:p w14:paraId="15FAEE7C">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7C14B7AD">
            <w:pPr>
              <w:pStyle w:val="14"/>
              <w:spacing w:before="121" w:line="223" w:lineRule="auto"/>
              <w:ind w:left="25"/>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rPr>
              <w:t>1</w:t>
            </w:r>
            <w:r>
              <w:rPr>
                <w:rFonts w:hint="eastAsia" w:ascii="仿宋_GB2312" w:hAnsi="仿宋_GB2312" w:eastAsia="仿宋_GB2312" w:cs="仿宋_GB2312"/>
                <w:spacing w:val="6"/>
                <w:sz w:val="24"/>
                <w:szCs w:val="24"/>
                <w:highlight w:val="none"/>
                <w:lang w:val="en-US" w:eastAsia="zh-CN"/>
              </w:rPr>
              <w:t>1</w:t>
            </w:r>
            <w:r>
              <w:rPr>
                <w:rFonts w:hint="eastAsia" w:ascii="仿宋_GB2312" w:hAnsi="仿宋_GB2312" w:eastAsia="仿宋_GB2312" w:cs="仿宋_GB2312"/>
                <w:spacing w:val="6"/>
                <w:sz w:val="24"/>
                <w:szCs w:val="24"/>
                <w:highlight w:val="none"/>
              </w:rPr>
              <w:t>.居民人均可支配收入增长（%）</w:t>
            </w:r>
          </w:p>
        </w:tc>
        <w:tc>
          <w:tcPr>
            <w:tcW w:w="875" w:type="dxa"/>
            <w:tcBorders>
              <w:top w:val="single" w:color="000000" w:sz="2" w:space="0"/>
              <w:bottom w:val="single" w:color="000000" w:sz="2" w:space="0"/>
            </w:tcBorders>
            <w:vAlign w:val="center"/>
          </w:tcPr>
          <w:p w14:paraId="44BD279C">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w:t>
            </w:r>
          </w:p>
        </w:tc>
        <w:tc>
          <w:tcPr>
            <w:tcW w:w="767" w:type="dxa"/>
            <w:tcBorders>
              <w:top w:val="single" w:color="000000" w:sz="2" w:space="0"/>
              <w:bottom w:val="single" w:color="000000" w:sz="2" w:space="0"/>
            </w:tcBorders>
            <w:vAlign w:val="center"/>
          </w:tcPr>
          <w:p w14:paraId="4BB1ED66">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7C65074D">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5.2</w:t>
            </w:r>
          </w:p>
        </w:tc>
        <w:tc>
          <w:tcPr>
            <w:tcW w:w="816" w:type="dxa"/>
            <w:tcBorders>
              <w:top w:val="single" w:color="000000" w:sz="2" w:space="0"/>
              <w:bottom w:val="single" w:color="000000" w:sz="2" w:space="0"/>
            </w:tcBorders>
            <w:vAlign w:val="center"/>
          </w:tcPr>
          <w:p w14:paraId="19D6955B">
            <w:pPr>
              <w:pStyle w:val="14"/>
              <w:spacing w:before="122"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0E385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653" w:type="dxa"/>
            <w:vMerge w:val="continue"/>
            <w:tcBorders>
              <w:top w:val="single" w:color="000000" w:sz="2" w:space="0"/>
              <w:left w:val="nil"/>
              <w:bottom w:val="single" w:color="000000" w:sz="2" w:space="0"/>
            </w:tcBorders>
            <w:vAlign w:val="top"/>
          </w:tcPr>
          <w:p w14:paraId="0CE60801">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605A08D8">
            <w:pPr>
              <w:pStyle w:val="14"/>
              <w:spacing w:before="46" w:line="222" w:lineRule="auto"/>
              <w:ind w:left="6" w:right="170" w:firstLine="1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rPr>
              <w:t>1</w:t>
            </w:r>
            <w:r>
              <w:rPr>
                <w:rFonts w:hint="eastAsia" w:ascii="仿宋_GB2312" w:hAnsi="仿宋_GB2312" w:eastAsia="仿宋_GB2312" w:cs="仿宋_GB2312"/>
                <w:spacing w:val="7"/>
                <w:sz w:val="24"/>
                <w:szCs w:val="24"/>
                <w:highlight w:val="none"/>
                <w:lang w:val="en-US" w:eastAsia="zh-CN"/>
              </w:rPr>
              <w:t>2</w:t>
            </w:r>
            <w:r>
              <w:rPr>
                <w:rFonts w:hint="eastAsia" w:ascii="仿宋_GB2312" w:hAnsi="仿宋_GB2312" w:eastAsia="仿宋_GB2312" w:cs="仿宋_GB2312"/>
                <w:spacing w:val="7"/>
                <w:sz w:val="24"/>
                <w:szCs w:val="24"/>
                <w:highlight w:val="none"/>
              </w:rPr>
              <w:t>.劳动年龄人口平均受教育年限</w:t>
            </w:r>
            <w:r>
              <w:rPr>
                <w:rFonts w:hint="eastAsia" w:ascii="仿宋_GB2312" w:hAnsi="仿宋_GB2312" w:eastAsia="仿宋_GB2312" w:cs="仿宋_GB2312"/>
                <w:spacing w:val="6"/>
                <w:sz w:val="24"/>
                <w:szCs w:val="24"/>
                <w:highlight w:val="none"/>
              </w:rPr>
              <w:t>（年）</w:t>
            </w:r>
          </w:p>
        </w:tc>
        <w:tc>
          <w:tcPr>
            <w:tcW w:w="875" w:type="dxa"/>
            <w:tcBorders>
              <w:top w:val="single" w:color="000000" w:sz="2" w:space="0"/>
              <w:bottom w:val="single" w:color="000000" w:sz="2" w:space="0"/>
            </w:tcBorders>
            <w:vAlign w:val="center"/>
          </w:tcPr>
          <w:p w14:paraId="070511F3">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68442A88">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7FA4ACF6">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0CA09CA9">
            <w:pPr>
              <w:pStyle w:val="14"/>
              <w:spacing w:before="196"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55FF2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653" w:type="dxa"/>
            <w:vMerge w:val="continue"/>
            <w:tcBorders>
              <w:top w:val="single" w:color="000000" w:sz="2" w:space="0"/>
              <w:left w:val="nil"/>
              <w:bottom w:val="single" w:color="000000" w:sz="2" w:space="0"/>
            </w:tcBorders>
            <w:vAlign w:val="top"/>
          </w:tcPr>
          <w:p w14:paraId="50AB8B2A">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1B037D98">
            <w:pPr>
              <w:pStyle w:val="14"/>
              <w:spacing w:before="122" w:line="221" w:lineRule="auto"/>
              <w:ind w:left="25"/>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rPr>
              <w:t>1</w:t>
            </w:r>
            <w:r>
              <w:rPr>
                <w:rFonts w:hint="eastAsia" w:ascii="仿宋_GB2312" w:hAnsi="仿宋_GB2312" w:eastAsia="仿宋_GB2312" w:cs="仿宋_GB2312"/>
                <w:spacing w:val="6"/>
                <w:sz w:val="24"/>
                <w:szCs w:val="24"/>
                <w:highlight w:val="none"/>
                <w:lang w:val="en-US" w:eastAsia="zh-CN"/>
              </w:rPr>
              <w:t>3</w:t>
            </w:r>
            <w:r>
              <w:rPr>
                <w:rFonts w:hint="eastAsia" w:ascii="仿宋_GB2312" w:hAnsi="仿宋_GB2312" w:eastAsia="仿宋_GB2312" w:cs="仿宋_GB2312"/>
                <w:spacing w:val="6"/>
                <w:sz w:val="24"/>
                <w:szCs w:val="24"/>
                <w:highlight w:val="none"/>
              </w:rPr>
              <w:t>.人均预期寿命（岁）</w:t>
            </w:r>
          </w:p>
        </w:tc>
        <w:tc>
          <w:tcPr>
            <w:tcW w:w="875" w:type="dxa"/>
            <w:tcBorders>
              <w:top w:val="single" w:color="000000" w:sz="2" w:space="0"/>
              <w:bottom w:val="single" w:color="000000" w:sz="2" w:space="0"/>
            </w:tcBorders>
            <w:vAlign w:val="center"/>
          </w:tcPr>
          <w:p w14:paraId="2145DAEF">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78.01</w:t>
            </w:r>
          </w:p>
        </w:tc>
        <w:tc>
          <w:tcPr>
            <w:tcW w:w="767" w:type="dxa"/>
            <w:tcBorders>
              <w:top w:val="single" w:color="000000" w:sz="2" w:space="0"/>
              <w:bottom w:val="single" w:color="000000" w:sz="2" w:space="0"/>
            </w:tcBorders>
            <w:vAlign w:val="center"/>
          </w:tcPr>
          <w:p w14:paraId="1CDFB49F">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80</w:t>
            </w:r>
          </w:p>
        </w:tc>
        <w:tc>
          <w:tcPr>
            <w:tcW w:w="870" w:type="dxa"/>
            <w:tcBorders>
              <w:top w:val="single" w:color="000000" w:sz="2" w:space="0"/>
              <w:bottom w:val="single" w:color="000000" w:sz="2" w:space="0"/>
            </w:tcBorders>
            <w:vAlign w:val="center"/>
          </w:tcPr>
          <w:p w14:paraId="3355E0E6">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648A4593">
            <w:pPr>
              <w:pStyle w:val="14"/>
              <w:spacing w:before="120"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3F221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jc w:val="center"/>
        </w:trPr>
        <w:tc>
          <w:tcPr>
            <w:tcW w:w="653" w:type="dxa"/>
            <w:vMerge w:val="continue"/>
            <w:tcBorders>
              <w:top w:val="single" w:color="000000" w:sz="2" w:space="0"/>
              <w:left w:val="nil"/>
              <w:bottom w:val="single" w:color="000000" w:sz="2" w:space="0"/>
            </w:tcBorders>
            <w:vAlign w:val="top"/>
          </w:tcPr>
          <w:p w14:paraId="35683B80">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6ED468EE">
            <w:pPr>
              <w:pStyle w:val="14"/>
              <w:spacing w:before="45" w:line="222" w:lineRule="auto"/>
              <w:ind w:left="17" w:right="5" w:firstLine="8"/>
              <w:jc w:val="left"/>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3"/>
                <w:sz w:val="24"/>
                <w:szCs w:val="24"/>
                <w:highlight w:val="none"/>
              </w:rPr>
              <w:t>1</w:t>
            </w:r>
            <w:r>
              <w:rPr>
                <w:rFonts w:hint="eastAsia" w:ascii="仿宋_GB2312" w:hAnsi="仿宋_GB2312" w:eastAsia="仿宋_GB2312" w:cs="仿宋_GB2312"/>
                <w:spacing w:val="3"/>
                <w:sz w:val="24"/>
                <w:szCs w:val="24"/>
                <w:highlight w:val="none"/>
                <w:lang w:val="en-US" w:eastAsia="zh-CN"/>
              </w:rPr>
              <w:t>4</w:t>
            </w:r>
            <w:r>
              <w:rPr>
                <w:rFonts w:hint="eastAsia" w:ascii="仿宋_GB2312" w:hAnsi="仿宋_GB2312" w:eastAsia="仿宋_GB2312" w:cs="仿宋_GB2312"/>
                <w:spacing w:val="3"/>
                <w:sz w:val="24"/>
                <w:szCs w:val="24"/>
                <w:highlight w:val="none"/>
              </w:rPr>
              <w:t>.每千人口拥有</w:t>
            </w:r>
            <w:r>
              <w:rPr>
                <w:rFonts w:hint="eastAsia" w:ascii="仿宋_GB2312" w:hAnsi="仿宋_GB2312" w:eastAsia="仿宋_GB2312" w:cs="仿宋_GB2312"/>
                <w:spacing w:val="3"/>
                <w:sz w:val="24"/>
                <w:szCs w:val="24"/>
                <w:highlight w:val="none"/>
                <w:lang w:val="en-US" w:eastAsia="zh-CN"/>
              </w:rPr>
              <w:t>医护人员数（人）</w:t>
            </w:r>
          </w:p>
        </w:tc>
        <w:tc>
          <w:tcPr>
            <w:tcW w:w="875" w:type="dxa"/>
            <w:tcBorders>
              <w:top w:val="single" w:color="000000" w:sz="2" w:space="0"/>
              <w:bottom w:val="single" w:color="000000" w:sz="2" w:space="0"/>
            </w:tcBorders>
            <w:vAlign w:val="center"/>
          </w:tcPr>
          <w:p w14:paraId="554C6CE7">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12B30245">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3.5</w:t>
            </w:r>
          </w:p>
        </w:tc>
        <w:tc>
          <w:tcPr>
            <w:tcW w:w="870" w:type="dxa"/>
            <w:tcBorders>
              <w:top w:val="single" w:color="000000" w:sz="2" w:space="0"/>
              <w:bottom w:val="single" w:color="000000" w:sz="2" w:space="0"/>
            </w:tcBorders>
            <w:vAlign w:val="center"/>
          </w:tcPr>
          <w:p w14:paraId="396AE28A">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0BDA87CF">
            <w:pPr>
              <w:pStyle w:val="14"/>
              <w:spacing w:before="193"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7BBB8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653" w:type="dxa"/>
            <w:vMerge w:val="continue"/>
            <w:tcBorders>
              <w:top w:val="single" w:color="000000" w:sz="2" w:space="0"/>
              <w:left w:val="nil"/>
              <w:bottom w:val="single" w:color="000000" w:sz="2" w:space="0"/>
            </w:tcBorders>
            <w:vAlign w:val="top"/>
          </w:tcPr>
          <w:p w14:paraId="61C578F3">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3FB3F042">
            <w:pPr>
              <w:pStyle w:val="14"/>
              <w:spacing w:before="45" w:line="222" w:lineRule="auto"/>
              <w:ind w:left="17" w:right="5" w:firstLine="8"/>
              <w:jc w:val="left"/>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15.养老机构护理型床位占比（%）</w:t>
            </w:r>
          </w:p>
        </w:tc>
        <w:tc>
          <w:tcPr>
            <w:tcW w:w="875" w:type="dxa"/>
            <w:tcBorders>
              <w:top w:val="single" w:color="000000" w:sz="2" w:space="0"/>
              <w:bottom w:val="single" w:color="000000" w:sz="2" w:space="0"/>
            </w:tcBorders>
            <w:vAlign w:val="center"/>
          </w:tcPr>
          <w:p w14:paraId="2BF281E0">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18A19BE6">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75</w:t>
            </w:r>
          </w:p>
        </w:tc>
        <w:tc>
          <w:tcPr>
            <w:tcW w:w="870" w:type="dxa"/>
            <w:tcBorders>
              <w:top w:val="single" w:color="000000" w:sz="2" w:space="0"/>
              <w:bottom w:val="single" w:color="000000" w:sz="2" w:space="0"/>
            </w:tcBorders>
            <w:vAlign w:val="center"/>
          </w:tcPr>
          <w:p w14:paraId="7EABDF98">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42F03088">
            <w:pPr>
              <w:pStyle w:val="14"/>
              <w:spacing w:before="193" w:line="227" w:lineRule="auto"/>
              <w:ind w:left="31"/>
              <w:jc w:val="center"/>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预期性</w:t>
            </w:r>
          </w:p>
        </w:tc>
      </w:tr>
      <w:tr w14:paraId="387BE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653" w:type="dxa"/>
            <w:vMerge w:val="continue"/>
            <w:tcBorders>
              <w:top w:val="single" w:color="000000" w:sz="2" w:space="0"/>
              <w:left w:val="nil"/>
              <w:bottom w:val="single" w:color="000000" w:sz="2" w:space="0"/>
            </w:tcBorders>
            <w:vAlign w:val="top"/>
          </w:tcPr>
          <w:p w14:paraId="64816CCD">
            <w:pPr>
              <w:rPr>
                <w:rFonts w:hint="eastAsia" w:ascii="仿宋_GB2312" w:hAnsi="仿宋_GB2312" w:eastAsia="仿宋_GB2312" w:cs="仿宋_GB2312"/>
                <w:sz w:val="24"/>
                <w:szCs w:val="24"/>
                <w:highlight w:val="none"/>
              </w:rPr>
            </w:pPr>
          </w:p>
        </w:tc>
        <w:tc>
          <w:tcPr>
            <w:tcW w:w="3947" w:type="dxa"/>
            <w:tcBorders>
              <w:top w:val="single" w:color="000000" w:sz="2" w:space="0"/>
              <w:bottom w:val="single" w:color="000000" w:sz="2" w:space="0"/>
            </w:tcBorders>
            <w:vAlign w:val="center"/>
          </w:tcPr>
          <w:p w14:paraId="58E2DB5B">
            <w:pPr>
              <w:pStyle w:val="14"/>
              <w:spacing w:before="45" w:line="222" w:lineRule="auto"/>
              <w:ind w:left="17" w:right="5" w:firstLine="8"/>
              <w:jc w:val="left"/>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16.1-3岁婴幼儿入托率（%）</w:t>
            </w:r>
          </w:p>
        </w:tc>
        <w:tc>
          <w:tcPr>
            <w:tcW w:w="875" w:type="dxa"/>
            <w:tcBorders>
              <w:top w:val="single" w:color="000000" w:sz="2" w:space="0"/>
              <w:bottom w:val="single" w:color="000000" w:sz="2" w:space="0"/>
            </w:tcBorders>
            <w:vAlign w:val="center"/>
          </w:tcPr>
          <w:p w14:paraId="391153D1">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3F59440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731B789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3FA5F818">
            <w:pPr>
              <w:pStyle w:val="14"/>
              <w:spacing w:before="193" w:line="227" w:lineRule="auto"/>
              <w:ind w:left="31"/>
              <w:jc w:val="center"/>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预期性</w:t>
            </w:r>
          </w:p>
        </w:tc>
      </w:tr>
      <w:tr w14:paraId="2CDF3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53" w:type="dxa"/>
            <w:vMerge w:val="restart"/>
            <w:tcBorders>
              <w:top w:val="single" w:color="000000" w:sz="12" w:space="0"/>
              <w:left w:val="nil"/>
            </w:tcBorders>
            <w:vAlign w:val="top"/>
          </w:tcPr>
          <w:p w14:paraId="29E36140">
            <w:pPr>
              <w:pStyle w:val="14"/>
              <w:spacing w:before="40" w:line="233" w:lineRule="auto"/>
              <w:ind w:left="103"/>
              <w:rPr>
                <w:rFonts w:hint="eastAsia" w:ascii="仿宋_GB2312" w:hAnsi="仿宋_GB2312" w:eastAsia="仿宋_GB2312" w:cs="仿宋_GB2312"/>
                <w:sz w:val="24"/>
                <w:szCs w:val="24"/>
                <w:highlight w:val="none"/>
              </w:rPr>
            </w:pPr>
          </w:p>
          <w:p w14:paraId="5C104EF8">
            <w:pPr>
              <w:pStyle w:val="14"/>
              <w:spacing w:before="40" w:line="233" w:lineRule="auto"/>
              <w:ind w:left="103"/>
              <w:rPr>
                <w:rFonts w:hint="eastAsia" w:ascii="仿宋_GB2312" w:hAnsi="仿宋_GB2312" w:eastAsia="仿宋_GB2312" w:cs="仿宋_GB2312"/>
                <w:sz w:val="24"/>
                <w:szCs w:val="24"/>
                <w:highlight w:val="none"/>
              </w:rPr>
            </w:pPr>
          </w:p>
          <w:p w14:paraId="7596CCF7">
            <w:pPr>
              <w:pStyle w:val="14"/>
              <w:spacing w:before="40" w:line="233" w:lineRule="auto"/>
              <w:ind w:left="103"/>
              <w:rPr>
                <w:rFonts w:hint="eastAsia" w:ascii="仿宋_GB2312" w:hAnsi="仿宋_GB2312" w:eastAsia="仿宋_GB2312" w:cs="仿宋_GB2312"/>
                <w:sz w:val="24"/>
                <w:szCs w:val="24"/>
                <w:highlight w:val="none"/>
              </w:rPr>
            </w:pPr>
          </w:p>
          <w:p w14:paraId="2E2411F9">
            <w:pPr>
              <w:pStyle w:val="14"/>
              <w:spacing w:before="40" w:line="233" w:lineRule="auto"/>
              <w:ind w:left="103"/>
              <w:rPr>
                <w:rFonts w:hint="eastAsia" w:ascii="仿宋_GB2312" w:hAnsi="仿宋_GB2312" w:eastAsia="仿宋_GB2312" w:cs="仿宋_GB2312"/>
                <w:sz w:val="24"/>
                <w:szCs w:val="24"/>
                <w:highlight w:val="none"/>
              </w:rPr>
            </w:pPr>
          </w:p>
          <w:p w14:paraId="024C05E0">
            <w:pPr>
              <w:pStyle w:val="14"/>
              <w:spacing w:before="40" w:line="233" w:lineRule="auto"/>
              <w:ind w:left="103"/>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绿色</w:t>
            </w:r>
          </w:p>
          <w:p w14:paraId="32DBB600">
            <w:pPr>
              <w:pStyle w:val="14"/>
              <w:spacing w:before="9" w:line="206" w:lineRule="auto"/>
              <w:ind w:left="99"/>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低碳</w:t>
            </w:r>
          </w:p>
        </w:tc>
        <w:tc>
          <w:tcPr>
            <w:tcW w:w="3947" w:type="dxa"/>
            <w:tcBorders>
              <w:top w:val="single" w:color="000000" w:sz="12" w:space="0"/>
            </w:tcBorders>
            <w:vAlign w:val="center"/>
          </w:tcPr>
          <w:p w14:paraId="0D0030B4">
            <w:pPr>
              <w:pStyle w:val="14"/>
              <w:spacing w:before="191" w:line="221"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lang w:val="en-US" w:eastAsia="zh-CN"/>
              </w:rPr>
              <w:t>17</w:t>
            </w:r>
            <w:r>
              <w:rPr>
                <w:rFonts w:hint="eastAsia" w:ascii="仿宋_GB2312" w:hAnsi="仿宋_GB2312" w:eastAsia="仿宋_GB2312" w:cs="仿宋_GB2312"/>
                <w:spacing w:val="-5"/>
                <w:sz w:val="24"/>
                <w:szCs w:val="24"/>
                <w:highlight w:val="none"/>
              </w:rPr>
              <w:t>.单位GDP碳排放</w:t>
            </w:r>
            <w:r>
              <w:rPr>
                <w:rFonts w:hint="eastAsia" w:ascii="仿宋_GB2312" w:hAnsi="仿宋_GB2312" w:eastAsia="仿宋_GB2312" w:cs="仿宋_GB2312"/>
                <w:spacing w:val="-5"/>
                <w:sz w:val="24"/>
                <w:szCs w:val="24"/>
                <w:highlight w:val="none"/>
                <w:lang w:val="en-US" w:eastAsia="zh-CN"/>
              </w:rPr>
              <w:t>强度</w:t>
            </w:r>
            <w:r>
              <w:rPr>
                <w:rFonts w:hint="eastAsia" w:ascii="仿宋_GB2312" w:hAnsi="仿宋_GB2312" w:eastAsia="仿宋_GB2312" w:cs="仿宋_GB2312"/>
                <w:spacing w:val="-5"/>
                <w:sz w:val="24"/>
                <w:szCs w:val="24"/>
                <w:highlight w:val="none"/>
              </w:rPr>
              <w:t>降低（%）</w:t>
            </w:r>
          </w:p>
        </w:tc>
        <w:tc>
          <w:tcPr>
            <w:tcW w:w="875" w:type="dxa"/>
            <w:tcBorders>
              <w:top w:val="single" w:color="000000" w:sz="12" w:space="0"/>
            </w:tcBorders>
            <w:vAlign w:val="center"/>
          </w:tcPr>
          <w:p w14:paraId="395A545F">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12" w:space="0"/>
            </w:tcBorders>
            <w:vAlign w:val="center"/>
          </w:tcPr>
          <w:p w14:paraId="6240C386">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12" w:space="0"/>
            </w:tcBorders>
            <w:vAlign w:val="center"/>
          </w:tcPr>
          <w:p w14:paraId="3AA4587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〔18〕</w:t>
            </w:r>
          </w:p>
        </w:tc>
        <w:tc>
          <w:tcPr>
            <w:tcW w:w="816" w:type="dxa"/>
            <w:tcBorders>
              <w:top w:val="single" w:color="000000" w:sz="12" w:space="0"/>
            </w:tcBorders>
            <w:vAlign w:val="center"/>
          </w:tcPr>
          <w:p w14:paraId="0308F555">
            <w:pPr>
              <w:pStyle w:val="14"/>
              <w:spacing w:before="189" w:line="227"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7AA17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653" w:type="dxa"/>
            <w:vMerge w:val="continue"/>
            <w:tcBorders>
              <w:left w:val="nil"/>
            </w:tcBorders>
            <w:vAlign w:val="top"/>
          </w:tcPr>
          <w:p w14:paraId="4494E835">
            <w:pPr>
              <w:rPr>
                <w:rFonts w:hint="eastAsia" w:ascii="仿宋_GB2312" w:hAnsi="仿宋_GB2312" w:eastAsia="仿宋_GB2312" w:cs="仿宋_GB2312"/>
                <w:sz w:val="24"/>
                <w:szCs w:val="24"/>
                <w:highlight w:val="none"/>
              </w:rPr>
            </w:pPr>
          </w:p>
        </w:tc>
        <w:tc>
          <w:tcPr>
            <w:tcW w:w="3947" w:type="dxa"/>
            <w:vAlign w:val="center"/>
          </w:tcPr>
          <w:p w14:paraId="2AB57029">
            <w:pPr>
              <w:spacing w:before="48" w:line="222" w:lineRule="auto"/>
              <w:ind w:left="19" w:right="17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18</w:t>
            </w:r>
            <w:r>
              <w:rPr>
                <w:rFonts w:hint="eastAsia" w:ascii="仿宋_GB2312" w:hAnsi="仿宋_GB2312" w:eastAsia="仿宋_GB2312" w:cs="仿宋_GB2312"/>
                <w:spacing w:val="7"/>
                <w:sz w:val="24"/>
                <w:szCs w:val="24"/>
                <w:highlight w:val="none"/>
              </w:rPr>
              <w:t>.非化石能源占能源消费总量比</w:t>
            </w:r>
            <w:r>
              <w:rPr>
                <w:rFonts w:hint="eastAsia" w:ascii="仿宋_GB2312" w:hAnsi="仿宋_GB2312" w:eastAsia="仿宋_GB2312" w:cs="仿宋_GB2312"/>
                <w:spacing w:val="2"/>
                <w:sz w:val="24"/>
                <w:szCs w:val="24"/>
                <w:highlight w:val="none"/>
              </w:rPr>
              <w:t>重（%）</w:t>
            </w:r>
          </w:p>
        </w:tc>
        <w:tc>
          <w:tcPr>
            <w:tcW w:w="875" w:type="dxa"/>
            <w:vAlign w:val="center"/>
          </w:tcPr>
          <w:p w14:paraId="6E946B1A">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vAlign w:val="center"/>
          </w:tcPr>
          <w:p w14:paraId="5D13B06F">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20</w:t>
            </w:r>
          </w:p>
        </w:tc>
        <w:tc>
          <w:tcPr>
            <w:tcW w:w="870" w:type="dxa"/>
            <w:vAlign w:val="center"/>
          </w:tcPr>
          <w:p w14:paraId="6E01CC0E">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35D0AA81">
            <w:pPr>
              <w:spacing w:before="199"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0EDD6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653" w:type="dxa"/>
            <w:vMerge w:val="continue"/>
            <w:tcBorders>
              <w:left w:val="nil"/>
            </w:tcBorders>
            <w:vAlign w:val="top"/>
          </w:tcPr>
          <w:p w14:paraId="5A59B0E5">
            <w:pPr>
              <w:rPr>
                <w:rFonts w:hint="eastAsia" w:ascii="仿宋_GB2312" w:hAnsi="仿宋_GB2312" w:eastAsia="仿宋_GB2312" w:cs="仿宋_GB2312"/>
                <w:sz w:val="24"/>
                <w:szCs w:val="24"/>
                <w:highlight w:val="none"/>
              </w:rPr>
            </w:pPr>
          </w:p>
        </w:tc>
        <w:tc>
          <w:tcPr>
            <w:tcW w:w="3947" w:type="dxa"/>
            <w:vAlign w:val="center"/>
          </w:tcPr>
          <w:p w14:paraId="22E07E4A">
            <w:pPr>
              <w:spacing w:before="46" w:line="221" w:lineRule="auto"/>
              <w:ind w:left="45" w:right="170" w:hanging="26"/>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19</w:t>
            </w:r>
            <w:r>
              <w:rPr>
                <w:rFonts w:hint="eastAsia" w:ascii="仿宋_GB2312" w:hAnsi="仿宋_GB2312" w:eastAsia="仿宋_GB2312" w:cs="仿宋_GB2312"/>
                <w:spacing w:val="7"/>
                <w:sz w:val="24"/>
                <w:szCs w:val="24"/>
                <w:highlight w:val="none"/>
              </w:rPr>
              <w:t>.新能源装机占全</w:t>
            </w:r>
            <w:r>
              <w:rPr>
                <w:rFonts w:hint="eastAsia" w:ascii="仿宋_GB2312" w:hAnsi="仿宋_GB2312" w:eastAsia="仿宋_GB2312" w:cs="仿宋_GB2312"/>
                <w:spacing w:val="7"/>
                <w:sz w:val="24"/>
                <w:szCs w:val="24"/>
                <w:highlight w:val="none"/>
                <w:lang w:val="en-US" w:eastAsia="zh-CN"/>
              </w:rPr>
              <w:t>区</w:t>
            </w:r>
            <w:r>
              <w:rPr>
                <w:rFonts w:hint="eastAsia" w:ascii="仿宋_GB2312" w:hAnsi="仿宋_GB2312" w:eastAsia="仿宋_GB2312" w:cs="仿宋_GB2312"/>
                <w:spacing w:val="7"/>
                <w:sz w:val="24"/>
                <w:szCs w:val="24"/>
                <w:highlight w:val="none"/>
              </w:rPr>
              <w:t>电力总装机</w:t>
            </w:r>
            <w:r>
              <w:rPr>
                <w:rFonts w:hint="eastAsia" w:ascii="仿宋_GB2312" w:hAnsi="仿宋_GB2312" w:eastAsia="仿宋_GB2312" w:cs="仿宋_GB2312"/>
                <w:spacing w:val="-2"/>
                <w:sz w:val="24"/>
                <w:szCs w:val="24"/>
                <w:highlight w:val="none"/>
              </w:rPr>
              <w:t>比重（%）</w:t>
            </w:r>
          </w:p>
        </w:tc>
        <w:tc>
          <w:tcPr>
            <w:tcW w:w="875" w:type="dxa"/>
            <w:vAlign w:val="center"/>
          </w:tcPr>
          <w:p w14:paraId="71E90CF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4.4</w:t>
            </w:r>
          </w:p>
        </w:tc>
        <w:tc>
          <w:tcPr>
            <w:tcW w:w="767" w:type="dxa"/>
            <w:vAlign w:val="center"/>
          </w:tcPr>
          <w:p w14:paraId="7883BC3D">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10.7</w:t>
            </w:r>
          </w:p>
        </w:tc>
        <w:tc>
          <w:tcPr>
            <w:tcW w:w="870" w:type="dxa"/>
            <w:vAlign w:val="center"/>
          </w:tcPr>
          <w:p w14:paraId="3AA46DE8">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1FBA2316">
            <w:pPr>
              <w:spacing w:before="197"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预期性</w:t>
            </w:r>
          </w:p>
        </w:tc>
      </w:tr>
      <w:tr w14:paraId="1D02F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653" w:type="dxa"/>
            <w:vMerge w:val="continue"/>
            <w:tcBorders>
              <w:left w:val="nil"/>
            </w:tcBorders>
            <w:vAlign w:val="top"/>
          </w:tcPr>
          <w:p w14:paraId="76F3CF3D">
            <w:pPr>
              <w:rPr>
                <w:rFonts w:hint="eastAsia" w:ascii="仿宋_GB2312" w:hAnsi="仿宋_GB2312" w:eastAsia="仿宋_GB2312" w:cs="仿宋_GB2312"/>
                <w:sz w:val="24"/>
                <w:szCs w:val="24"/>
                <w:highlight w:val="none"/>
              </w:rPr>
            </w:pPr>
          </w:p>
        </w:tc>
        <w:tc>
          <w:tcPr>
            <w:tcW w:w="3947" w:type="dxa"/>
            <w:vAlign w:val="center"/>
          </w:tcPr>
          <w:p w14:paraId="5266670B">
            <w:pPr>
              <w:spacing w:before="50" w:line="224" w:lineRule="auto"/>
              <w:ind w:left="1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20</w:t>
            </w:r>
            <w:r>
              <w:rPr>
                <w:rFonts w:hint="eastAsia" w:ascii="仿宋_GB2312" w:hAnsi="仿宋_GB2312" w:eastAsia="仿宋_GB2312" w:cs="仿宋_GB2312"/>
                <w:spacing w:val="7"/>
                <w:sz w:val="24"/>
                <w:szCs w:val="24"/>
                <w:highlight w:val="none"/>
              </w:rPr>
              <w:t>.城市细颗粒物</w:t>
            </w:r>
            <w:r>
              <w:rPr>
                <w:rFonts w:hint="eastAsia" w:ascii="仿宋_GB2312" w:hAnsi="仿宋_GB2312" w:eastAsia="仿宋_GB2312" w:cs="仿宋_GB2312"/>
                <w:spacing w:val="8"/>
                <w:sz w:val="24"/>
                <w:szCs w:val="24"/>
                <w:highlight w:val="none"/>
              </w:rPr>
              <w:t>（</w:t>
            </w:r>
            <w:r>
              <w:rPr>
                <w:rFonts w:hint="eastAsia" w:ascii="仿宋_GB2312" w:hAnsi="仿宋_GB2312" w:eastAsia="仿宋_GB2312" w:cs="仿宋_GB2312"/>
                <w:sz w:val="24"/>
                <w:szCs w:val="24"/>
                <w:highlight w:val="none"/>
              </w:rPr>
              <w:t>PM</w:t>
            </w:r>
            <w:r>
              <w:rPr>
                <w:rFonts w:hint="eastAsia" w:ascii="仿宋_GB2312" w:hAnsi="仿宋_GB2312" w:eastAsia="仿宋_GB2312" w:cs="仿宋_GB2312"/>
                <w:spacing w:val="8"/>
                <w:sz w:val="24"/>
                <w:szCs w:val="24"/>
                <w:highlight w:val="none"/>
              </w:rPr>
              <w:t>2.5）浓度（微克/立方米）</w:t>
            </w:r>
          </w:p>
        </w:tc>
        <w:tc>
          <w:tcPr>
            <w:tcW w:w="875" w:type="dxa"/>
            <w:vAlign w:val="center"/>
          </w:tcPr>
          <w:p w14:paraId="14E1EA6F">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vAlign w:val="center"/>
          </w:tcPr>
          <w:p w14:paraId="45180BD1">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20</w:t>
            </w:r>
          </w:p>
        </w:tc>
        <w:tc>
          <w:tcPr>
            <w:tcW w:w="870" w:type="dxa"/>
            <w:vAlign w:val="center"/>
          </w:tcPr>
          <w:p w14:paraId="33208BD0">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28FCFB6D">
            <w:pPr>
              <w:spacing w:before="199"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1B00A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53" w:type="dxa"/>
            <w:vMerge w:val="continue"/>
            <w:tcBorders>
              <w:left w:val="nil"/>
            </w:tcBorders>
            <w:vAlign w:val="top"/>
          </w:tcPr>
          <w:p w14:paraId="1126F0B6">
            <w:pPr>
              <w:rPr>
                <w:rFonts w:hint="eastAsia" w:ascii="仿宋_GB2312" w:hAnsi="仿宋_GB2312" w:eastAsia="仿宋_GB2312" w:cs="仿宋_GB2312"/>
                <w:sz w:val="24"/>
                <w:szCs w:val="24"/>
                <w:highlight w:val="none"/>
              </w:rPr>
            </w:pPr>
          </w:p>
        </w:tc>
        <w:tc>
          <w:tcPr>
            <w:tcW w:w="3947" w:type="dxa"/>
            <w:vAlign w:val="center"/>
          </w:tcPr>
          <w:p w14:paraId="62D6F455">
            <w:pPr>
              <w:spacing w:before="50" w:line="224" w:lineRule="auto"/>
              <w:ind w:left="19"/>
              <w:jc w:val="left"/>
              <w:rPr>
                <w:rFonts w:hint="default" w:ascii="仿宋_GB2312" w:hAnsi="仿宋_GB2312" w:eastAsia="仿宋_GB2312" w:cs="仿宋_GB2312"/>
                <w:spacing w:val="7"/>
                <w:sz w:val="24"/>
                <w:szCs w:val="24"/>
                <w:highlight w:val="none"/>
                <w:lang w:val="en-US" w:eastAsia="zh-CN"/>
              </w:rPr>
            </w:pPr>
            <w:r>
              <w:rPr>
                <w:rFonts w:hint="eastAsia" w:ascii="仿宋_GB2312" w:hAnsi="仿宋_GB2312" w:eastAsia="仿宋_GB2312" w:cs="仿宋_GB2312"/>
                <w:spacing w:val="7"/>
                <w:sz w:val="24"/>
                <w:szCs w:val="24"/>
                <w:highlight w:val="none"/>
                <w:lang w:val="en-US" w:eastAsia="zh-CN"/>
              </w:rPr>
              <w:t>21.优良水体比例（%）</w:t>
            </w:r>
          </w:p>
        </w:tc>
        <w:tc>
          <w:tcPr>
            <w:tcW w:w="875" w:type="dxa"/>
            <w:vAlign w:val="center"/>
          </w:tcPr>
          <w:p w14:paraId="5ABB82C9">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vAlign w:val="center"/>
          </w:tcPr>
          <w:p w14:paraId="0000156B">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vAlign w:val="center"/>
          </w:tcPr>
          <w:p w14:paraId="4C79D59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5AA6C334">
            <w:pPr>
              <w:spacing w:before="199" w:line="228" w:lineRule="auto"/>
              <w:ind w:left="31"/>
              <w:jc w:val="center"/>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约束性</w:t>
            </w:r>
          </w:p>
        </w:tc>
      </w:tr>
      <w:tr w14:paraId="207FC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53" w:type="dxa"/>
            <w:vMerge w:val="continue"/>
            <w:tcBorders>
              <w:left w:val="nil"/>
            </w:tcBorders>
            <w:vAlign w:val="top"/>
          </w:tcPr>
          <w:p w14:paraId="614E144F">
            <w:pPr>
              <w:rPr>
                <w:rFonts w:hint="eastAsia" w:ascii="仿宋_GB2312" w:hAnsi="仿宋_GB2312" w:eastAsia="仿宋_GB2312" w:cs="仿宋_GB2312"/>
                <w:sz w:val="24"/>
                <w:szCs w:val="24"/>
                <w:highlight w:val="none"/>
              </w:rPr>
            </w:pPr>
          </w:p>
        </w:tc>
        <w:tc>
          <w:tcPr>
            <w:tcW w:w="3947" w:type="dxa"/>
            <w:vAlign w:val="center"/>
          </w:tcPr>
          <w:p w14:paraId="655CF8B8">
            <w:pPr>
              <w:spacing w:before="50" w:line="224" w:lineRule="auto"/>
              <w:ind w:left="19"/>
              <w:jc w:val="left"/>
              <w:rPr>
                <w:rFonts w:hint="default" w:ascii="仿宋_GB2312" w:hAnsi="仿宋_GB2312" w:eastAsia="仿宋_GB2312" w:cs="仿宋_GB2312"/>
                <w:spacing w:val="7"/>
                <w:sz w:val="24"/>
                <w:szCs w:val="24"/>
                <w:highlight w:val="none"/>
                <w:lang w:val="en-US" w:eastAsia="zh-CN"/>
              </w:rPr>
            </w:pPr>
            <w:r>
              <w:rPr>
                <w:rFonts w:hint="eastAsia" w:ascii="仿宋_GB2312" w:hAnsi="仿宋_GB2312" w:eastAsia="仿宋_GB2312" w:cs="仿宋_GB2312"/>
                <w:spacing w:val="7"/>
                <w:sz w:val="24"/>
                <w:szCs w:val="24"/>
                <w:highlight w:val="none"/>
                <w:lang w:val="en-US" w:eastAsia="zh-CN"/>
              </w:rPr>
              <w:t>22.区域耕地质量等级（等）</w:t>
            </w:r>
          </w:p>
        </w:tc>
        <w:tc>
          <w:tcPr>
            <w:tcW w:w="875" w:type="dxa"/>
            <w:vAlign w:val="center"/>
          </w:tcPr>
          <w:p w14:paraId="5737919F">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vAlign w:val="center"/>
          </w:tcPr>
          <w:p w14:paraId="25D15709">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2.83</w:t>
            </w:r>
          </w:p>
        </w:tc>
        <w:tc>
          <w:tcPr>
            <w:tcW w:w="870" w:type="dxa"/>
            <w:vAlign w:val="center"/>
          </w:tcPr>
          <w:p w14:paraId="0675D3CA">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4B207545">
            <w:pPr>
              <w:spacing w:before="199" w:line="228" w:lineRule="auto"/>
              <w:ind w:left="31"/>
              <w:jc w:val="center"/>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预期性</w:t>
            </w:r>
          </w:p>
        </w:tc>
      </w:tr>
      <w:tr w14:paraId="7A3C9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jc w:val="center"/>
        </w:trPr>
        <w:tc>
          <w:tcPr>
            <w:tcW w:w="653" w:type="dxa"/>
            <w:vMerge w:val="continue"/>
            <w:tcBorders>
              <w:left w:val="nil"/>
            </w:tcBorders>
            <w:vAlign w:val="top"/>
          </w:tcPr>
          <w:p w14:paraId="74FEAC39">
            <w:pPr>
              <w:rPr>
                <w:rFonts w:hint="eastAsia" w:ascii="仿宋_GB2312" w:hAnsi="仿宋_GB2312" w:eastAsia="仿宋_GB2312" w:cs="仿宋_GB2312"/>
                <w:sz w:val="24"/>
                <w:szCs w:val="24"/>
                <w:highlight w:val="none"/>
              </w:rPr>
            </w:pPr>
          </w:p>
        </w:tc>
        <w:tc>
          <w:tcPr>
            <w:tcW w:w="3947" w:type="dxa"/>
            <w:tcBorders>
              <w:bottom w:val="single" w:color="000000" w:sz="2" w:space="0"/>
            </w:tcBorders>
            <w:vAlign w:val="center"/>
          </w:tcPr>
          <w:p w14:paraId="7FE049DA">
            <w:pPr>
              <w:spacing w:before="131" w:line="225" w:lineRule="auto"/>
              <w:ind w:left="1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rPr>
              <w:t>2</w:t>
            </w:r>
            <w:r>
              <w:rPr>
                <w:rFonts w:hint="eastAsia" w:ascii="仿宋_GB2312" w:hAnsi="仿宋_GB2312" w:eastAsia="仿宋_GB2312" w:cs="仿宋_GB2312"/>
                <w:spacing w:val="6"/>
                <w:sz w:val="24"/>
                <w:szCs w:val="24"/>
                <w:highlight w:val="none"/>
                <w:lang w:val="en-US" w:eastAsia="zh-CN"/>
              </w:rPr>
              <w:t>3</w:t>
            </w:r>
            <w:r>
              <w:rPr>
                <w:rFonts w:hint="eastAsia" w:ascii="仿宋_GB2312" w:hAnsi="仿宋_GB2312" w:eastAsia="仿宋_GB2312" w:cs="仿宋_GB2312"/>
                <w:spacing w:val="6"/>
                <w:sz w:val="24"/>
                <w:szCs w:val="24"/>
                <w:highlight w:val="none"/>
              </w:rPr>
              <w:t>.森林</w:t>
            </w:r>
            <w:r>
              <w:rPr>
                <w:rFonts w:hint="eastAsia" w:ascii="仿宋_GB2312" w:hAnsi="仿宋_GB2312" w:eastAsia="仿宋_GB2312" w:cs="仿宋_GB2312"/>
                <w:spacing w:val="6"/>
                <w:sz w:val="24"/>
                <w:szCs w:val="24"/>
                <w:highlight w:val="none"/>
                <w:lang w:val="en-US" w:eastAsia="zh-CN"/>
              </w:rPr>
              <w:t>覆盖率</w:t>
            </w:r>
            <w:r>
              <w:rPr>
                <w:rFonts w:hint="eastAsia" w:ascii="仿宋_GB2312" w:hAnsi="仿宋_GB2312" w:eastAsia="仿宋_GB2312" w:cs="仿宋_GB2312"/>
                <w:spacing w:val="6"/>
                <w:sz w:val="24"/>
                <w:szCs w:val="24"/>
                <w:highlight w:val="none"/>
              </w:rPr>
              <w:t>（</w:t>
            </w:r>
            <w:r>
              <w:rPr>
                <w:rFonts w:hint="eastAsia" w:ascii="仿宋_GB2312" w:hAnsi="仿宋_GB2312" w:eastAsia="仿宋_GB2312" w:cs="仿宋_GB2312"/>
                <w:spacing w:val="6"/>
                <w:sz w:val="24"/>
                <w:szCs w:val="24"/>
                <w:highlight w:val="none"/>
                <w:lang w:val="en-US" w:eastAsia="zh-CN"/>
              </w:rPr>
              <w:t>%</w:t>
            </w:r>
            <w:r>
              <w:rPr>
                <w:rFonts w:hint="eastAsia" w:ascii="仿宋_GB2312" w:hAnsi="仿宋_GB2312" w:eastAsia="仿宋_GB2312" w:cs="仿宋_GB2312"/>
                <w:spacing w:val="6"/>
                <w:sz w:val="24"/>
                <w:szCs w:val="24"/>
                <w:highlight w:val="none"/>
              </w:rPr>
              <w:t>）</w:t>
            </w:r>
          </w:p>
        </w:tc>
        <w:tc>
          <w:tcPr>
            <w:tcW w:w="875" w:type="dxa"/>
            <w:tcBorders>
              <w:bottom w:val="single" w:color="000000" w:sz="2" w:space="0"/>
            </w:tcBorders>
            <w:vAlign w:val="center"/>
          </w:tcPr>
          <w:p w14:paraId="6CC99DF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bottom w:val="single" w:color="000000" w:sz="2" w:space="0"/>
            </w:tcBorders>
            <w:vAlign w:val="center"/>
          </w:tcPr>
          <w:p w14:paraId="6D70484D">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40</w:t>
            </w:r>
          </w:p>
        </w:tc>
        <w:tc>
          <w:tcPr>
            <w:tcW w:w="870" w:type="dxa"/>
            <w:tcBorders>
              <w:bottom w:val="single" w:color="000000" w:sz="2" w:space="0"/>
            </w:tcBorders>
            <w:vAlign w:val="center"/>
          </w:tcPr>
          <w:p w14:paraId="4972216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bottom w:val="single" w:color="000000" w:sz="2" w:space="0"/>
            </w:tcBorders>
            <w:vAlign w:val="center"/>
          </w:tcPr>
          <w:p w14:paraId="2D85CCF9">
            <w:pPr>
              <w:spacing w:before="131"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151A0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653" w:type="dxa"/>
            <w:vMerge w:val="continue"/>
            <w:tcBorders>
              <w:left w:val="nil"/>
            </w:tcBorders>
            <w:vAlign w:val="top"/>
          </w:tcPr>
          <w:p w14:paraId="3E62FC1E">
            <w:pPr>
              <w:spacing w:before="74" w:line="230" w:lineRule="auto"/>
              <w:ind w:left="99"/>
              <w:rPr>
                <w:rFonts w:hint="eastAsia" w:ascii="仿宋_GB2312" w:hAnsi="仿宋_GB2312" w:eastAsia="仿宋_GB2312" w:cs="仿宋_GB2312"/>
                <w:spacing w:val="1"/>
                <w:sz w:val="24"/>
                <w:szCs w:val="24"/>
                <w:highlight w:val="none"/>
              </w:rPr>
            </w:pPr>
          </w:p>
        </w:tc>
        <w:tc>
          <w:tcPr>
            <w:tcW w:w="3947" w:type="dxa"/>
            <w:tcBorders>
              <w:top w:val="single" w:color="000000" w:sz="2" w:space="0"/>
              <w:bottom w:val="single" w:color="000000" w:sz="2" w:space="0"/>
            </w:tcBorders>
            <w:vAlign w:val="center"/>
          </w:tcPr>
          <w:p w14:paraId="1E7FC6AB">
            <w:pPr>
              <w:spacing w:before="130" w:line="224" w:lineRule="auto"/>
              <w:ind w:left="19"/>
              <w:jc w:val="left"/>
              <w:rPr>
                <w:rFonts w:hint="default" w:ascii="仿宋_GB2312" w:hAnsi="仿宋_GB2312" w:eastAsia="仿宋_GB2312" w:cs="仿宋_GB2312"/>
                <w:spacing w:val="7"/>
                <w:sz w:val="24"/>
                <w:szCs w:val="24"/>
                <w:highlight w:val="none"/>
                <w:lang w:val="en-US" w:eastAsia="zh-CN"/>
              </w:rPr>
            </w:pPr>
            <w:r>
              <w:rPr>
                <w:rFonts w:hint="eastAsia" w:ascii="仿宋_GB2312" w:hAnsi="仿宋_GB2312" w:eastAsia="仿宋_GB2312" w:cs="仿宋_GB2312"/>
                <w:spacing w:val="7"/>
                <w:sz w:val="24"/>
                <w:szCs w:val="24"/>
                <w:highlight w:val="none"/>
                <w:lang w:val="en-US" w:eastAsia="zh-CN"/>
              </w:rPr>
              <w:t>24.对俄贸易总额（亿元）</w:t>
            </w:r>
          </w:p>
        </w:tc>
        <w:tc>
          <w:tcPr>
            <w:tcW w:w="875" w:type="dxa"/>
            <w:tcBorders>
              <w:top w:val="single" w:color="000000" w:sz="2" w:space="0"/>
              <w:bottom w:val="single" w:color="000000" w:sz="2" w:space="0"/>
            </w:tcBorders>
            <w:vAlign w:val="center"/>
          </w:tcPr>
          <w:p w14:paraId="7FF31F81">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2" w:space="0"/>
              <w:bottom w:val="single" w:color="000000" w:sz="2" w:space="0"/>
            </w:tcBorders>
            <w:vAlign w:val="center"/>
          </w:tcPr>
          <w:p w14:paraId="7D335EE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70" w:type="dxa"/>
            <w:tcBorders>
              <w:top w:val="single" w:color="000000" w:sz="2" w:space="0"/>
              <w:bottom w:val="single" w:color="000000" w:sz="2" w:space="0"/>
            </w:tcBorders>
            <w:vAlign w:val="center"/>
          </w:tcPr>
          <w:p w14:paraId="0A7A86C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2" w:space="0"/>
              <w:bottom w:val="single" w:color="000000" w:sz="2" w:space="0"/>
            </w:tcBorders>
            <w:vAlign w:val="center"/>
          </w:tcPr>
          <w:p w14:paraId="193BA6E1">
            <w:pPr>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预期性</w:t>
            </w:r>
          </w:p>
        </w:tc>
      </w:tr>
      <w:tr w14:paraId="586F3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653" w:type="dxa"/>
            <w:vMerge w:val="restart"/>
            <w:tcBorders>
              <w:top w:val="single" w:color="000000" w:sz="12" w:space="0"/>
              <w:left w:val="nil"/>
            </w:tcBorders>
            <w:vAlign w:val="center"/>
          </w:tcPr>
          <w:p w14:paraId="0EB50961">
            <w:pPr>
              <w:spacing w:before="75" w:line="232"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安全</w:t>
            </w:r>
          </w:p>
          <w:p w14:paraId="21E6B6DC">
            <w:pPr>
              <w:spacing w:before="75" w:line="232" w:lineRule="auto"/>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保障</w:t>
            </w:r>
          </w:p>
        </w:tc>
        <w:tc>
          <w:tcPr>
            <w:tcW w:w="3947" w:type="dxa"/>
            <w:tcBorders>
              <w:top w:val="single" w:color="000000" w:sz="12" w:space="0"/>
            </w:tcBorders>
            <w:vAlign w:val="center"/>
          </w:tcPr>
          <w:p w14:paraId="5C62174F">
            <w:pPr>
              <w:spacing w:before="209" w:line="223" w:lineRule="auto"/>
              <w:ind w:left="2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25</w:t>
            </w:r>
            <w:r>
              <w:rPr>
                <w:rFonts w:hint="eastAsia" w:ascii="仿宋_GB2312" w:hAnsi="仿宋_GB2312" w:eastAsia="仿宋_GB2312" w:cs="仿宋_GB2312"/>
                <w:spacing w:val="6"/>
                <w:sz w:val="24"/>
                <w:szCs w:val="24"/>
                <w:highlight w:val="none"/>
              </w:rPr>
              <w:t>.粮食综合生产能力（万吨）</w:t>
            </w:r>
          </w:p>
        </w:tc>
        <w:tc>
          <w:tcPr>
            <w:tcW w:w="875" w:type="dxa"/>
            <w:tcBorders>
              <w:top w:val="single" w:color="000000" w:sz="12" w:space="0"/>
            </w:tcBorders>
            <w:vAlign w:val="center"/>
          </w:tcPr>
          <w:p w14:paraId="2D2AC185">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top w:val="single" w:color="000000" w:sz="12" w:space="0"/>
            </w:tcBorders>
            <w:vAlign w:val="center"/>
          </w:tcPr>
          <w:p w14:paraId="23844990">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21</w:t>
            </w:r>
          </w:p>
        </w:tc>
        <w:tc>
          <w:tcPr>
            <w:tcW w:w="870" w:type="dxa"/>
            <w:tcBorders>
              <w:top w:val="single" w:color="000000" w:sz="12" w:space="0"/>
            </w:tcBorders>
            <w:vAlign w:val="center"/>
          </w:tcPr>
          <w:p w14:paraId="4312E829">
            <w:pPr>
              <w:pStyle w:val="14"/>
              <w:spacing w:before="107" w:line="221" w:lineRule="auto"/>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top w:val="single" w:color="000000" w:sz="12" w:space="0"/>
            </w:tcBorders>
            <w:vAlign w:val="center"/>
          </w:tcPr>
          <w:p w14:paraId="53CDC197">
            <w:pPr>
              <w:spacing w:before="208"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4203E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3" w:type="dxa"/>
            <w:vMerge w:val="continue"/>
            <w:tcBorders>
              <w:left w:val="nil"/>
            </w:tcBorders>
            <w:vAlign w:val="top"/>
          </w:tcPr>
          <w:p w14:paraId="77282122">
            <w:pPr>
              <w:rPr>
                <w:rFonts w:hint="eastAsia" w:ascii="仿宋_GB2312" w:hAnsi="仿宋_GB2312" w:eastAsia="仿宋_GB2312" w:cs="仿宋_GB2312"/>
                <w:sz w:val="24"/>
                <w:szCs w:val="24"/>
                <w:highlight w:val="none"/>
              </w:rPr>
            </w:pPr>
          </w:p>
        </w:tc>
        <w:tc>
          <w:tcPr>
            <w:tcW w:w="3947" w:type="dxa"/>
            <w:vAlign w:val="center"/>
          </w:tcPr>
          <w:p w14:paraId="36F952E4">
            <w:pPr>
              <w:spacing w:before="67" w:line="222" w:lineRule="auto"/>
              <w:ind w:left="6" w:right="170" w:firstLine="22"/>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7"/>
                <w:sz w:val="24"/>
                <w:szCs w:val="24"/>
                <w:highlight w:val="none"/>
                <w:lang w:val="en-US" w:eastAsia="zh-CN"/>
              </w:rPr>
              <w:t>26</w:t>
            </w:r>
            <w:r>
              <w:rPr>
                <w:rFonts w:hint="eastAsia" w:ascii="仿宋_GB2312" w:hAnsi="仿宋_GB2312" w:eastAsia="仿宋_GB2312" w:cs="仿宋_GB2312"/>
                <w:spacing w:val="7"/>
                <w:sz w:val="24"/>
                <w:szCs w:val="24"/>
                <w:highlight w:val="none"/>
              </w:rPr>
              <w:t>.能源综合生产能力（万吨标</w:t>
            </w:r>
            <w:r>
              <w:rPr>
                <w:rFonts w:hint="eastAsia" w:ascii="仿宋_GB2312" w:hAnsi="仿宋_GB2312" w:eastAsia="仿宋_GB2312" w:cs="仿宋_GB2312"/>
                <w:spacing w:val="7"/>
                <w:sz w:val="24"/>
                <w:szCs w:val="24"/>
                <w:highlight w:val="none"/>
                <w:lang w:val="en-US" w:eastAsia="zh-CN"/>
              </w:rPr>
              <w:t>准</w:t>
            </w:r>
            <w:r>
              <w:rPr>
                <w:rFonts w:hint="eastAsia" w:ascii="仿宋_GB2312" w:hAnsi="仿宋_GB2312" w:eastAsia="仿宋_GB2312" w:cs="仿宋_GB2312"/>
                <w:spacing w:val="4"/>
                <w:sz w:val="24"/>
                <w:szCs w:val="24"/>
                <w:highlight w:val="none"/>
              </w:rPr>
              <w:t>煤）</w:t>
            </w:r>
          </w:p>
        </w:tc>
        <w:tc>
          <w:tcPr>
            <w:tcW w:w="875" w:type="dxa"/>
            <w:vAlign w:val="center"/>
          </w:tcPr>
          <w:p w14:paraId="6755BC72">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vAlign w:val="center"/>
          </w:tcPr>
          <w:p w14:paraId="57594023">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400</w:t>
            </w:r>
          </w:p>
        </w:tc>
        <w:tc>
          <w:tcPr>
            <w:tcW w:w="870" w:type="dxa"/>
            <w:vAlign w:val="center"/>
          </w:tcPr>
          <w:p w14:paraId="257746C0">
            <w:pPr>
              <w:pStyle w:val="14"/>
              <w:spacing w:before="107" w:line="221" w:lineRule="auto"/>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vAlign w:val="center"/>
          </w:tcPr>
          <w:p w14:paraId="03F1900D">
            <w:pPr>
              <w:spacing w:before="215" w:line="228" w:lineRule="auto"/>
              <w:ind w:left="31"/>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3"/>
                <w:sz w:val="24"/>
                <w:szCs w:val="24"/>
                <w:highlight w:val="none"/>
              </w:rPr>
              <w:t>约束性</w:t>
            </w:r>
          </w:p>
        </w:tc>
      </w:tr>
      <w:tr w14:paraId="08A01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3" w:type="dxa"/>
            <w:vMerge w:val="continue"/>
            <w:tcBorders>
              <w:left w:val="nil"/>
              <w:bottom w:val="single" w:color="000000" w:sz="10" w:space="0"/>
            </w:tcBorders>
            <w:vAlign w:val="top"/>
          </w:tcPr>
          <w:p w14:paraId="3305C189">
            <w:pPr>
              <w:rPr>
                <w:rFonts w:hint="eastAsia" w:ascii="仿宋_GB2312" w:hAnsi="仿宋_GB2312" w:eastAsia="仿宋_GB2312" w:cs="仿宋_GB2312"/>
                <w:sz w:val="24"/>
                <w:szCs w:val="24"/>
                <w:highlight w:val="none"/>
              </w:rPr>
            </w:pPr>
          </w:p>
        </w:tc>
        <w:tc>
          <w:tcPr>
            <w:tcW w:w="3947" w:type="dxa"/>
            <w:tcBorders>
              <w:bottom w:val="single" w:color="000000" w:sz="10" w:space="0"/>
            </w:tcBorders>
            <w:vAlign w:val="center"/>
          </w:tcPr>
          <w:p w14:paraId="285FAEBC">
            <w:pPr>
              <w:spacing w:before="67" w:line="222" w:lineRule="auto"/>
              <w:ind w:left="6" w:right="170" w:firstLine="22"/>
              <w:jc w:val="left"/>
              <w:rPr>
                <w:rFonts w:hint="default" w:ascii="仿宋_GB2312" w:hAnsi="仿宋_GB2312" w:eastAsia="仿宋_GB2312" w:cs="仿宋_GB2312"/>
                <w:spacing w:val="7"/>
                <w:sz w:val="24"/>
                <w:szCs w:val="24"/>
                <w:highlight w:val="none"/>
                <w:lang w:val="en-US" w:eastAsia="zh-CN"/>
              </w:rPr>
            </w:pPr>
            <w:r>
              <w:rPr>
                <w:rFonts w:hint="eastAsia" w:ascii="仿宋_GB2312" w:hAnsi="仿宋_GB2312" w:eastAsia="仿宋_GB2312" w:cs="仿宋_GB2312"/>
                <w:spacing w:val="7"/>
                <w:sz w:val="24"/>
                <w:szCs w:val="24"/>
                <w:highlight w:val="none"/>
                <w:lang w:val="en-US" w:eastAsia="zh-CN"/>
              </w:rPr>
              <w:t>27.新能源装机总量（兆瓦）</w:t>
            </w:r>
          </w:p>
        </w:tc>
        <w:tc>
          <w:tcPr>
            <w:tcW w:w="875" w:type="dxa"/>
            <w:tcBorders>
              <w:bottom w:val="single" w:color="000000" w:sz="10" w:space="0"/>
            </w:tcBorders>
            <w:vAlign w:val="center"/>
          </w:tcPr>
          <w:p w14:paraId="4B2F9AB1">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767" w:type="dxa"/>
            <w:tcBorders>
              <w:bottom w:val="single" w:color="000000" w:sz="10" w:space="0"/>
            </w:tcBorders>
            <w:vAlign w:val="center"/>
          </w:tcPr>
          <w:p w14:paraId="5BD4F034">
            <w:pPr>
              <w:pStyle w:val="14"/>
              <w:spacing w:before="107" w:line="221" w:lineRule="auto"/>
              <w:ind w:left="25"/>
              <w:jc w:val="center"/>
              <w:rPr>
                <w:rFonts w:hint="default"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147</w:t>
            </w:r>
          </w:p>
        </w:tc>
        <w:tc>
          <w:tcPr>
            <w:tcW w:w="870" w:type="dxa"/>
            <w:tcBorders>
              <w:bottom w:val="single" w:color="000000" w:sz="10" w:space="0"/>
            </w:tcBorders>
            <w:vAlign w:val="center"/>
          </w:tcPr>
          <w:p w14:paraId="583C4BD4">
            <w:pPr>
              <w:pStyle w:val="14"/>
              <w:spacing w:before="107" w:line="221" w:lineRule="auto"/>
              <w:ind w:left="25"/>
              <w:jc w:val="center"/>
              <w:rPr>
                <w:rFonts w:hint="eastAsia" w:ascii="仿宋_GB2312" w:hAnsi="仿宋_GB2312" w:eastAsia="仿宋_GB2312" w:cs="仿宋_GB2312"/>
                <w:spacing w:val="2"/>
                <w:sz w:val="24"/>
                <w:szCs w:val="24"/>
                <w:highlight w:val="none"/>
                <w:lang w:val="en-US" w:eastAsia="zh-CN"/>
              </w:rPr>
            </w:pPr>
            <w:r>
              <w:rPr>
                <w:rFonts w:hint="eastAsia" w:ascii="仿宋_GB2312" w:hAnsi="仿宋_GB2312" w:eastAsia="仿宋_GB2312" w:cs="仿宋_GB2312"/>
                <w:spacing w:val="2"/>
                <w:sz w:val="24"/>
                <w:szCs w:val="24"/>
                <w:highlight w:val="none"/>
                <w:lang w:val="en-US" w:eastAsia="zh-CN"/>
              </w:rPr>
              <w:t>——</w:t>
            </w:r>
          </w:p>
        </w:tc>
        <w:tc>
          <w:tcPr>
            <w:tcW w:w="816" w:type="dxa"/>
            <w:tcBorders>
              <w:bottom w:val="single" w:color="000000" w:sz="10" w:space="0"/>
            </w:tcBorders>
            <w:vAlign w:val="center"/>
          </w:tcPr>
          <w:p w14:paraId="71CE1638">
            <w:pPr>
              <w:spacing w:before="215" w:line="228" w:lineRule="auto"/>
              <w:ind w:left="31"/>
              <w:jc w:val="center"/>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预期性</w:t>
            </w:r>
          </w:p>
        </w:tc>
      </w:tr>
    </w:tbl>
    <w:p w14:paraId="207D084E">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02617BED">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6" w:firstLineChars="200"/>
        <w:jc w:val="both"/>
        <w:textAlignment w:val="baseline"/>
        <w:outlineLvl w:val="9"/>
        <w:rPr>
          <w:rFonts w:hint="eastAsia" w:ascii="仿宋_GB2312" w:hAnsi="仿宋_GB2312" w:eastAsia="仿宋_GB2312" w:cs="仿宋_GB2312"/>
          <w:spacing w:val="9"/>
          <w:sz w:val="32"/>
          <w:szCs w:val="32"/>
          <w:highlight w:val="none"/>
        </w:rPr>
      </w:pPr>
    </w:p>
    <w:p w14:paraId="1BAA65C0">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仿宋_GB2312" w:hAnsi="仿宋_GB2312" w:eastAsia="仿宋_GB2312" w:cs="仿宋_GB2312"/>
          <w:sz w:val="32"/>
          <w:szCs w:val="32"/>
          <w:highlight w:val="none"/>
        </w:rPr>
      </w:pPr>
      <w:bookmarkStart w:id="33" w:name="_Toc13623"/>
      <w:bookmarkStart w:id="34" w:name="_Toc28781"/>
      <w:bookmarkStart w:id="35" w:name="_Toc7482"/>
      <w:bookmarkStart w:id="36" w:name="_Toc25713"/>
      <w:r>
        <w:rPr>
          <w:rFonts w:hint="eastAsia" w:ascii="方正小标宋简体" w:hAnsi="方正小标宋简体" w:eastAsia="方正小标宋简体" w:cs="方正小标宋简体"/>
          <w:b w:val="0"/>
          <w:bCs/>
          <w:sz w:val="36"/>
          <w:szCs w:val="36"/>
          <w:highlight w:val="none"/>
          <w:lang w:val="en-US" w:eastAsia="zh-CN"/>
        </w:rPr>
        <w:t xml:space="preserve">第三章  </w:t>
      </w:r>
      <w:bookmarkEnd w:id="33"/>
      <w:bookmarkEnd w:id="34"/>
      <w:bookmarkEnd w:id="35"/>
      <w:r>
        <w:rPr>
          <w:rFonts w:hint="eastAsia" w:ascii="方正小标宋简体" w:hAnsi="方正小标宋简体" w:eastAsia="方正小标宋简体" w:cs="方正小标宋简体"/>
          <w:b w:val="0"/>
          <w:bCs/>
          <w:sz w:val="36"/>
          <w:szCs w:val="36"/>
          <w:highlight w:val="none"/>
          <w:lang w:val="en-US" w:eastAsia="zh-CN"/>
        </w:rPr>
        <w:t>构建现代产业体系 培育新质生产力赋能</w:t>
      </w:r>
      <w:bookmarkEnd w:id="36"/>
      <w:r>
        <w:rPr>
          <w:rFonts w:hint="eastAsia" w:ascii="方正小标宋简体" w:hAnsi="方正小标宋简体" w:eastAsia="方正小标宋简体" w:cs="方正小标宋简体"/>
          <w:b w:val="0"/>
          <w:bCs/>
          <w:sz w:val="44"/>
          <w:szCs w:val="44"/>
          <w:highlight w:val="none"/>
          <w:lang w:val="en-US" w:eastAsia="zh-CN"/>
        </w:rPr>
        <w:tab/>
      </w:r>
    </w:p>
    <w:p w14:paraId="404382B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发挥科技创新的支撑引领作用，着力推动传统产业赋能提升、优势产业创新集聚、新质生产力落地布局，产业链不断健全，产业发展的内生性、稳定性、自主性有效提升，产业集群不断夯实。</w:t>
      </w:r>
    </w:p>
    <w:p w14:paraId="596E9A7E">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37" w:name="_Toc28321"/>
      <w:bookmarkStart w:id="38" w:name="_Toc9969"/>
      <w:bookmarkStart w:id="39" w:name="_Toc24598"/>
      <w:bookmarkStart w:id="40" w:name="_Toc28643"/>
      <w:r>
        <w:rPr>
          <w:rFonts w:hint="eastAsia"/>
          <w:b w:val="0"/>
          <w:bCs/>
          <w:highlight w:val="none"/>
          <w:lang w:val="en-US" w:eastAsia="zh-CN"/>
        </w:rPr>
        <w:t>第一节 引领现代化产业体系建设</w:t>
      </w:r>
      <w:bookmarkEnd w:id="37"/>
      <w:bookmarkEnd w:id="38"/>
      <w:bookmarkEnd w:id="39"/>
      <w:bookmarkEnd w:id="40"/>
    </w:p>
    <w:p w14:paraId="33EEFDB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聚焦煤炭产业提质增效，筑牢能源安全压舱石。协同推进降碳减污扩绿增长，加快经济社会发展全面绿色转型，稳妥推进碳达峰碳中和。合理开发利用资源，实现煤炭产能稳定接续，加快智能煤矿、绿色矿山建设，统筹保留升级改造煤炭项目建设，加快煤炭洗选产业布局和发展，实现原煤不出城目标，出精煤、出好煤。</w:t>
      </w:r>
    </w:p>
    <w:p w14:paraId="0A272D9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聚焦新能源产业集群发展，培育经济增长新支柱。紧紧抓住新能源产业快速发展的机遇，以光伏、风电、新型储能等新能源产业为重点方向，筑峰强链企业培育、产业集群发展，深挖新能源开发潜力，因地制宜推进光伏、风电、新型储能项目建设，以国能总装机容量</w:t>
      </w:r>
      <w:r>
        <w:rPr>
          <w:rFonts w:hint="default" w:ascii="Times New Roman" w:hAnsi="Times New Roman" w:eastAsia="仿宋_GB2312" w:cs="Times New Roman"/>
          <w:spacing w:val="7"/>
          <w:sz w:val="32"/>
          <w:szCs w:val="32"/>
          <w:highlight w:val="none"/>
          <w:lang w:val="en-US" w:eastAsia="zh-CN"/>
        </w:rPr>
        <w:t>18</w:t>
      </w:r>
      <w:r>
        <w:rPr>
          <w:rFonts w:hint="eastAsia" w:ascii="仿宋_GB2312" w:hAnsi="仿宋_GB2312" w:eastAsia="仿宋_GB2312" w:cs="仿宋_GB2312"/>
          <w:spacing w:val="7"/>
          <w:sz w:val="32"/>
          <w:szCs w:val="32"/>
          <w:highlight w:val="none"/>
          <w:lang w:val="en-US" w:eastAsia="zh-CN"/>
        </w:rPr>
        <w:t>兆瓦光伏项目、</w:t>
      </w:r>
      <w:r>
        <w:rPr>
          <w:rFonts w:hint="eastAsia" w:ascii="Times New Roman" w:hAnsi="Times New Roman" w:eastAsia="仿宋_GB2312" w:cs="Times New Roman"/>
          <w:spacing w:val="7"/>
          <w:sz w:val="32"/>
          <w:szCs w:val="32"/>
          <w:highlight w:val="none"/>
          <w:lang w:val="en-US" w:eastAsia="zh-CN"/>
        </w:rPr>
        <w:t>8万千瓦复合光伏项目、锅盔山风力发电为新能源产业发展框架，布局20万千瓦风电项目，推动新能源产业加速串珠成链、聚链成群、集群成势。</w:t>
      </w:r>
    </w:p>
    <w:p w14:paraId="2D3B95D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聚焦新材料产业同频共振，激活发展新质生产力。</w:t>
      </w:r>
      <w:r>
        <w:rPr>
          <w:rFonts w:hint="eastAsia" w:ascii="仿宋_GB2312" w:hAnsi="仿宋_GB2312" w:eastAsia="仿宋_GB2312" w:cs="仿宋_GB2312"/>
          <w:spacing w:val="7"/>
          <w:sz w:val="32"/>
          <w:szCs w:val="32"/>
          <w:highlight w:val="none"/>
          <w:lang w:val="en-US" w:eastAsia="zh-CN"/>
        </w:rPr>
        <w:t>实现新型工业化、制造业高端化、智能化、绿色化步伐加快。明确新材料产业在推进新型工业化中的基石作用，以高端化、智能化、绿色化转型为核心路径，增强天然石墨负极材料创新能力，提升产业发展质量、发展效能、发展水平，夯实新型工业化根基，加快实现制造强区宏阔愿景。</w:t>
      </w:r>
    </w:p>
    <w:p w14:paraId="1F7A6D3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聚焦现代化农业强根固基，厚植农旅融合新优势。</w:t>
      </w:r>
      <w:r>
        <w:rPr>
          <w:rFonts w:hint="eastAsia" w:ascii="仿宋_GB2312" w:hAnsi="仿宋_GB2312" w:eastAsia="仿宋_GB2312" w:cs="仿宋_GB2312"/>
          <w:spacing w:val="7"/>
          <w:sz w:val="32"/>
          <w:szCs w:val="32"/>
          <w:highlight w:val="none"/>
          <w:lang w:val="en-US" w:eastAsia="zh-CN"/>
        </w:rPr>
        <w:t>农为邦本，本固邦宁，坚持不懈夯实农业基础，推进乡村全面振兴。围绕特色农业种植，结合“粮头食尾”“畜头肉尾”做大做强农产品加工业。依托林区自然生态环境优势，瞄准大鹅养殖产业，不断做大做强“鹅经济”。结合地方特色产业发展，打造“小而精、特而美”特色农产品产业链，围绕清谷酒庄、二十九团、翔霖牧业、翠博园等老字号品牌，打造一批成长企业和雏鹰企业，从而带动区域农业产业集群集聚发展，实现一、二、三产融合。</w:t>
      </w:r>
    </w:p>
    <w:p w14:paraId="0381E11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84575DC">
      <w:pPr>
        <w:spacing w:before="37" w:line="226" w:lineRule="auto"/>
        <w:jc w:val="center"/>
        <w:rPr>
          <w:rFonts w:hint="eastAsia" w:ascii="方正小标宋简体" w:hAnsi="方正小标宋简体" w:eastAsia="方正小标宋简体" w:cs="方正小标宋简体"/>
          <w:b w:val="0"/>
          <w:bCs w:val="0"/>
          <w:sz w:val="30"/>
          <w:szCs w:val="30"/>
          <w:highlight w:val="none"/>
          <w:lang w:val="en-US" w:eastAsia="zh-CN"/>
        </w:rPr>
      </w:pPr>
      <w:r>
        <w:rPr>
          <w:rFonts w:hint="eastAsia" w:ascii="方正小标宋简体" w:hAnsi="方正小标宋简体" w:eastAsia="方正小标宋简体" w:cs="方正小标宋简体"/>
          <w:b w:val="0"/>
          <w:bCs w:val="0"/>
          <w:spacing w:val="5"/>
          <w:sz w:val="30"/>
          <w:szCs w:val="30"/>
          <w:highlight w:val="none"/>
          <w:lang w:val="en-US" w:eastAsia="zh-CN"/>
        </w:rPr>
        <w:t>表2  现代化产业发展方向</w:t>
      </w:r>
    </w:p>
    <w:p w14:paraId="07493075">
      <w:pPr>
        <w:spacing w:line="68" w:lineRule="auto"/>
        <w:rPr>
          <w:rFonts w:ascii="Arial"/>
          <w:sz w:val="2"/>
          <w:highlight w:val="none"/>
        </w:rPr>
      </w:pPr>
    </w:p>
    <w:tbl>
      <w:tblPr>
        <w:tblStyle w:val="13"/>
        <w:tblW w:w="844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7121"/>
      </w:tblGrid>
      <w:tr w14:paraId="09E69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321" w:type="dxa"/>
            <w:tcBorders>
              <w:top w:val="single" w:color="000000" w:sz="10" w:space="0"/>
              <w:left w:val="nil"/>
              <w:bottom w:val="single" w:color="000000" w:sz="10" w:space="0"/>
            </w:tcBorders>
            <w:vAlign w:val="top"/>
          </w:tcPr>
          <w:p w14:paraId="698C7A05">
            <w:pPr>
              <w:pStyle w:val="14"/>
              <w:spacing w:before="148" w:line="226" w:lineRule="auto"/>
              <w:ind w:left="303"/>
              <w:rPr>
                <w:rFonts w:hint="eastAsia" w:ascii="黑体" w:hAnsi="黑体" w:eastAsia="黑体" w:cs="黑体"/>
                <w:b w:val="0"/>
                <w:bCs w:val="0"/>
                <w:highlight w:val="none"/>
              </w:rPr>
            </w:pPr>
            <w:r>
              <w:rPr>
                <w:rFonts w:hint="eastAsia" w:ascii="黑体" w:hAnsi="黑体" w:eastAsia="黑体" w:cs="黑体"/>
                <w:b w:val="0"/>
                <w:bCs w:val="0"/>
                <w:spacing w:val="-2"/>
                <w:highlight w:val="none"/>
              </w:rPr>
              <w:t>类别</w:t>
            </w:r>
          </w:p>
        </w:tc>
        <w:tc>
          <w:tcPr>
            <w:tcW w:w="7121" w:type="dxa"/>
            <w:tcBorders>
              <w:top w:val="single" w:color="000000" w:sz="10" w:space="0"/>
              <w:bottom w:val="single" w:color="000000" w:sz="10" w:space="0"/>
              <w:right w:val="nil"/>
            </w:tcBorders>
            <w:vAlign w:val="top"/>
          </w:tcPr>
          <w:p w14:paraId="447072CE">
            <w:pPr>
              <w:pStyle w:val="14"/>
              <w:spacing w:before="147" w:line="227" w:lineRule="auto"/>
              <w:jc w:val="center"/>
              <w:rPr>
                <w:rFonts w:hint="eastAsia" w:ascii="黑体" w:hAnsi="黑体" w:eastAsia="黑体" w:cs="黑体"/>
                <w:b w:val="0"/>
                <w:bCs w:val="0"/>
                <w:highlight w:val="none"/>
                <w:lang w:val="en-US" w:eastAsia="zh-CN"/>
              </w:rPr>
            </w:pPr>
            <w:r>
              <w:rPr>
                <w:rFonts w:hint="eastAsia" w:ascii="黑体" w:hAnsi="黑体" w:eastAsia="黑体" w:cs="黑体"/>
                <w:b w:val="0"/>
                <w:bCs w:val="0"/>
                <w:spacing w:val="2"/>
                <w:highlight w:val="none"/>
              </w:rPr>
              <w:t>重点任务</w:t>
            </w:r>
            <w:r>
              <w:rPr>
                <w:rFonts w:hint="eastAsia" w:ascii="黑体" w:hAnsi="黑体" w:eastAsia="黑体" w:cs="黑体"/>
                <w:b w:val="0"/>
                <w:bCs w:val="0"/>
                <w:spacing w:val="2"/>
                <w:highlight w:val="none"/>
                <w:lang w:val="en-US" w:eastAsia="zh-CN"/>
              </w:rPr>
              <w:t>及发展方向</w:t>
            </w:r>
          </w:p>
        </w:tc>
      </w:tr>
      <w:tr w14:paraId="62071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6" w:hRule="atLeast"/>
          <w:jc w:val="center"/>
        </w:trPr>
        <w:tc>
          <w:tcPr>
            <w:tcW w:w="1321" w:type="dxa"/>
            <w:tcBorders>
              <w:top w:val="single" w:color="000000" w:sz="10" w:space="0"/>
              <w:left w:val="nil"/>
            </w:tcBorders>
            <w:vAlign w:val="center"/>
          </w:tcPr>
          <w:p w14:paraId="3C6FAECD">
            <w:pPr>
              <w:pStyle w:val="14"/>
              <w:spacing w:before="308" w:line="322" w:lineRule="auto"/>
              <w:ind w:left="296" w:right="50" w:hanging="248"/>
              <w:jc w:val="center"/>
              <w:rPr>
                <w:rFonts w:hint="eastAsia" w:ascii="仿宋_GB2312" w:hAnsi="仿宋_GB2312" w:eastAsia="仿宋_GB2312" w:cs="仿宋_GB2312"/>
                <w:spacing w:val="8"/>
                <w:sz w:val="24"/>
                <w:szCs w:val="24"/>
                <w:highlight w:val="none"/>
                <w:lang w:val="en-US" w:eastAsia="zh-CN"/>
              </w:rPr>
            </w:pPr>
          </w:p>
          <w:p w14:paraId="74CCE0F6">
            <w:pPr>
              <w:pStyle w:val="14"/>
              <w:spacing w:before="308" w:line="322" w:lineRule="auto"/>
              <w:ind w:left="296" w:right="50" w:hanging="248"/>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8"/>
                <w:sz w:val="24"/>
                <w:szCs w:val="24"/>
                <w:highlight w:val="none"/>
                <w:lang w:val="en-US" w:eastAsia="zh-CN"/>
              </w:rPr>
              <w:t>煤炭产业</w:t>
            </w:r>
          </w:p>
        </w:tc>
        <w:tc>
          <w:tcPr>
            <w:tcW w:w="7121" w:type="dxa"/>
            <w:tcBorders>
              <w:top w:val="single" w:color="000000" w:sz="10" w:space="0"/>
              <w:right w:val="nil"/>
            </w:tcBorders>
            <w:vAlign w:val="top"/>
          </w:tcPr>
          <w:p w14:paraId="1FCB27A8">
            <w:pPr>
              <w:pStyle w:val="14"/>
              <w:spacing w:before="311" w:line="318" w:lineRule="auto"/>
              <w:ind w:right="1"/>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宝山区龙发煤矿30万吨/年资源整合项目</w:t>
            </w: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、宝山区三合顺煤业有限责任公司30万吨/年改扩建项目、宝山区</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金顺</w:t>
            </w: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煤</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矿</w:t>
            </w: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30万吨/年改扩建项目、宝山区龙山煤业有限责任公司30万吨/年改扩建项目、宝山区汇源煤矿30万吨/年资源整合项目、宝山区兴旺矿业有限公司30万吨/年改扩建项目、宝山区发展煤矿30万吨/年改扩建项目、宝山区大民煤矿60万吨/年改扩建项目、宝山区</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新堡煤矿</w:t>
            </w: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30万吨/年改扩建项目、</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隆中煤矿45万吨/年改扩建项目</w:t>
            </w:r>
          </w:p>
        </w:tc>
      </w:tr>
      <w:tr w14:paraId="2FC60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jc w:val="center"/>
        </w:trPr>
        <w:tc>
          <w:tcPr>
            <w:tcW w:w="1321" w:type="dxa"/>
            <w:tcBorders>
              <w:left w:val="nil"/>
            </w:tcBorders>
            <w:vAlign w:val="center"/>
          </w:tcPr>
          <w:p w14:paraId="56E46164">
            <w:pPr>
              <w:pStyle w:val="14"/>
              <w:spacing w:before="137" w:line="271" w:lineRule="auto"/>
              <w:ind w:right="50"/>
              <w:jc w:val="center"/>
              <w:rPr>
                <w:rFonts w:hint="eastAsia" w:ascii="仿宋_GB2312" w:hAnsi="仿宋_GB2312" w:eastAsia="仿宋_GB2312" w:cs="仿宋_GB2312"/>
                <w:spacing w:val="8"/>
                <w:sz w:val="24"/>
                <w:szCs w:val="24"/>
                <w:highlight w:val="none"/>
                <w:lang w:val="en-US" w:eastAsia="zh-CN"/>
              </w:rPr>
            </w:pPr>
            <w:r>
              <w:rPr>
                <w:rFonts w:hint="eastAsia" w:ascii="仿宋_GB2312" w:hAnsi="仿宋_GB2312" w:eastAsia="仿宋_GB2312" w:cs="仿宋_GB2312"/>
                <w:spacing w:val="8"/>
                <w:sz w:val="24"/>
                <w:szCs w:val="24"/>
                <w:highlight w:val="none"/>
                <w:lang w:val="en-US" w:eastAsia="zh-CN"/>
              </w:rPr>
              <w:t>新能源</w:t>
            </w:r>
          </w:p>
          <w:p w14:paraId="797FCA93">
            <w:pPr>
              <w:pStyle w:val="14"/>
              <w:spacing w:before="137" w:line="271" w:lineRule="auto"/>
              <w:ind w:right="5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8"/>
                <w:sz w:val="24"/>
                <w:szCs w:val="24"/>
                <w:highlight w:val="none"/>
                <w:lang w:val="en-US" w:eastAsia="zh-CN"/>
              </w:rPr>
              <w:t>产业</w:t>
            </w:r>
          </w:p>
        </w:tc>
        <w:tc>
          <w:tcPr>
            <w:tcW w:w="7121" w:type="dxa"/>
            <w:tcBorders>
              <w:right w:val="nil"/>
            </w:tcBorders>
            <w:vAlign w:val="top"/>
          </w:tcPr>
          <w:p w14:paraId="5D96F596">
            <w:pPr>
              <w:pStyle w:val="14"/>
              <w:spacing w:before="311" w:line="318" w:lineRule="auto"/>
              <w:ind w:right="1"/>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推进国能6兆瓦光伏项目、国能8万千瓦光伏复合项目竣工投产。稳定宝山区宝山村锅盔山风电公司6.25MW驭风行动分散式风电项目运营。打造双鸭山市东部最大光伏发展基地，推动新能源产业加速串珠成链、聚链成群、集群成势</w:t>
            </w:r>
          </w:p>
        </w:tc>
      </w:tr>
      <w:tr w14:paraId="43E5D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321" w:type="dxa"/>
            <w:tcBorders>
              <w:left w:val="nil"/>
            </w:tcBorders>
            <w:vAlign w:val="center"/>
          </w:tcPr>
          <w:p w14:paraId="4E5F2358">
            <w:pPr>
              <w:pStyle w:val="14"/>
              <w:spacing w:before="311" w:line="318" w:lineRule="auto"/>
              <w:ind w:right="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新材料产业</w:t>
            </w:r>
          </w:p>
        </w:tc>
        <w:tc>
          <w:tcPr>
            <w:tcW w:w="7121" w:type="dxa"/>
            <w:tcBorders>
              <w:right w:val="nil"/>
            </w:tcBorders>
            <w:vAlign w:val="top"/>
          </w:tcPr>
          <w:p w14:paraId="288150FA">
            <w:pPr>
              <w:pStyle w:val="14"/>
              <w:spacing w:before="311" w:line="318" w:lineRule="auto"/>
              <w:ind w:right="1"/>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以高端化、智能化、绿色化转型为核心路径，全面增强以天然石墨负极材料为主导的新材料产业延链强链</w:t>
            </w:r>
          </w:p>
        </w:tc>
      </w:tr>
      <w:tr w14:paraId="44072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jc w:val="center"/>
        </w:trPr>
        <w:tc>
          <w:tcPr>
            <w:tcW w:w="1321" w:type="dxa"/>
            <w:tcBorders>
              <w:left w:val="nil"/>
              <w:bottom w:val="single" w:color="000000" w:sz="12" w:space="0"/>
            </w:tcBorders>
            <w:vAlign w:val="center"/>
          </w:tcPr>
          <w:p w14:paraId="481A3221">
            <w:pPr>
              <w:pStyle w:val="14"/>
              <w:spacing w:before="75" w:line="320" w:lineRule="auto"/>
              <w:ind w:right="50"/>
              <w:jc w:val="center"/>
              <w:rPr>
                <w:rFonts w:hint="eastAsia" w:ascii="仿宋_GB2312" w:hAnsi="仿宋_GB2312" w:eastAsia="仿宋_GB2312" w:cs="仿宋_GB2312"/>
                <w:spacing w:val="7"/>
                <w:sz w:val="24"/>
                <w:szCs w:val="24"/>
                <w:highlight w:val="none"/>
                <w:lang w:val="en-US" w:eastAsia="zh-CN"/>
              </w:rPr>
            </w:pPr>
            <w:r>
              <w:rPr>
                <w:rFonts w:hint="eastAsia" w:ascii="仿宋_GB2312" w:hAnsi="仿宋_GB2312" w:eastAsia="仿宋_GB2312" w:cs="仿宋_GB2312"/>
                <w:spacing w:val="7"/>
                <w:sz w:val="24"/>
                <w:szCs w:val="24"/>
                <w:highlight w:val="none"/>
                <w:lang w:val="en-US" w:eastAsia="zh-CN"/>
              </w:rPr>
              <w:t>农旅融合</w:t>
            </w:r>
          </w:p>
        </w:tc>
        <w:tc>
          <w:tcPr>
            <w:tcW w:w="7121" w:type="dxa"/>
            <w:tcBorders>
              <w:bottom w:val="single" w:color="000000" w:sz="12" w:space="0"/>
              <w:right w:val="nil"/>
            </w:tcBorders>
            <w:vAlign w:val="top"/>
          </w:tcPr>
          <w:p w14:paraId="4E214543">
            <w:pPr>
              <w:pStyle w:val="14"/>
              <w:spacing w:before="311" w:line="318" w:lineRule="auto"/>
              <w:ind w:right="1"/>
              <w:rPr>
                <w:rFonts w:hint="default" w:ascii="仿宋_GB2312" w:hAnsi="仿宋_GB2312" w:eastAsia="仿宋_GB2312" w:cs="仿宋_GB2312"/>
                <w:spacing w:val="8"/>
                <w:sz w:val="24"/>
                <w:szCs w:val="24"/>
                <w:highlight w:val="none"/>
                <w:lang w:val="en-US"/>
              </w:rPr>
            </w:pPr>
            <w:r>
              <w:rPr>
                <w:rFonts w:hint="eastAsia" w:ascii="仿宋_GB2312" w:hAnsi="仿宋_GB2312" w:eastAsia="仿宋_GB2312" w:cs="仿宋_GB2312"/>
                <w:sz w:val="24"/>
                <w:szCs w:val="24"/>
                <w:highlight w:val="none"/>
                <w:lang w:val="en-US" w:eastAsia="zh-CN"/>
              </w:rPr>
              <w:t>农旅融合发展，打造“小而精、特而美”特色农产品产业链。聚焦“鹅经济”，推广养殖技术，提升区域特色农业品牌影响力，推动鹅产业从“规模扩张”向“质量效益”转型。围绕清谷酒庄、二十九团、翔霖牧业、翠博园等老字号品牌，打造一批成长企业和雏鹰企业，积极引导农业产业与旅游产业融合发展</w:t>
            </w:r>
          </w:p>
        </w:tc>
      </w:tr>
    </w:tbl>
    <w:p w14:paraId="2F264E9E">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2" w:firstLineChars="200"/>
        <w:jc w:val="both"/>
        <w:textAlignment w:val="baseline"/>
        <w:outlineLvl w:val="9"/>
        <w:rPr>
          <w:rFonts w:hint="eastAsia" w:ascii="仿宋_GB2312" w:hAnsi="仿宋_GB2312" w:eastAsia="仿宋_GB2312" w:cs="仿宋_GB2312"/>
          <w:spacing w:val="8"/>
          <w:sz w:val="32"/>
          <w:szCs w:val="32"/>
          <w:highlight w:val="none"/>
          <w:lang w:val="en-US" w:eastAsia="zh-CN"/>
        </w:rPr>
      </w:pPr>
    </w:p>
    <w:p w14:paraId="3D318C64">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41" w:name="_Toc995"/>
      <w:bookmarkStart w:id="42" w:name="_Toc31279"/>
      <w:bookmarkStart w:id="43" w:name="_Toc30307"/>
      <w:bookmarkStart w:id="44" w:name="_Toc6126"/>
      <w:r>
        <w:rPr>
          <w:rFonts w:hint="eastAsia"/>
          <w:b w:val="0"/>
          <w:bCs/>
          <w:highlight w:val="none"/>
          <w:lang w:val="en-US" w:eastAsia="zh-CN"/>
        </w:rPr>
        <w:t xml:space="preserve">第二节 </w:t>
      </w:r>
      <w:bookmarkEnd w:id="41"/>
      <w:bookmarkEnd w:id="42"/>
      <w:bookmarkEnd w:id="43"/>
      <w:bookmarkStart w:id="45" w:name="_Toc11618"/>
      <w:bookmarkStart w:id="46" w:name="_Toc16255"/>
      <w:bookmarkStart w:id="47" w:name="_Toc24688"/>
      <w:r>
        <w:rPr>
          <w:rFonts w:hint="eastAsia"/>
          <w:b w:val="0"/>
          <w:bCs/>
          <w:highlight w:val="none"/>
          <w:lang w:val="en-US" w:eastAsia="zh-CN"/>
        </w:rPr>
        <w:t>传统产业提质升级</w:t>
      </w:r>
      <w:bookmarkEnd w:id="44"/>
    </w:p>
    <w:p w14:paraId="6C518B0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以新质生产力为切入点，主动融入全国数字经济、绿色经济发展浪潮，在大力发展新材料、新能源产业的同时，加快农业、煤炭、矿山工业等传统产业提质升级进度，通过技术创新和新技术应用，促使传统产业在产业结构、组织和技术体系等维度迭代升级，最终实现生产效率、产品质量、绿色低碳水平和价值链地位提升的系统性变革。</w:t>
      </w:r>
    </w:p>
    <w:p w14:paraId="3537CF9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在现代化农业产业建设上，全链条推进农业产业体系升级，提升农业综合效益。立足特色农业资源优势，推动农业从单一种养向农产品加工流通环节延伸，跨界配置农业和现代产业要素，打造供应链，提升价值链，共享利益链。推进智慧农业发展、推进产业融合。落实“藏粮于地、藏粮于技、藏粮于民、减损增效”的要求，推广植保无人机、自动驾驶农机等智能装备，推动全产业链数字化。优化田间管理，落实精准施肥、病虫害防控及保护性耕作等技术，提升农业生产效率与精细化水平。推动畜牧业规模化、科技化发展，推进标准化、规模化养殖场建设。棚室农业实现集约化、自动化发展，重点推进菌包自动生产线建设。改善人居环境，巩固“三保障”与饮水安全，提升防返贫监测效能。加强涉农资金监管与项目库建设，扶持大中型科技型产业，深化垦地合作。提升生活污</w:t>
      </w:r>
      <w:r>
        <w:rPr>
          <w:rFonts w:hint="eastAsia" w:ascii="仿宋_GB2312" w:hAnsi="仿宋_GB2312" w:eastAsia="仿宋_GB2312" w:cs="仿宋_GB2312"/>
          <w:sz w:val="32"/>
          <w:szCs w:val="32"/>
          <w:highlight w:val="none"/>
          <w:lang w:val="en-US" w:eastAsia="zh-CN"/>
        </w:rPr>
        <w:t>水治理、生活垃</w:t>
      </w:r>
      <w:r>
        <w:rPr>
          <w:rFonts w:hint="eastAsia" w:ascii="仿宋_GB2312" w:hAnsi="仿宋_GB2312" w:eastAsia="仿宋_GB2312" w:cs="仿宋_GB2312"/>
          <w:spacing w:val="7"/>
          <w:sz w:val="32"/>
          <w:szCs w:val="32"/>
          <w:highlight w:val="none"/>
          <w:lang w:val="en-US" w:eastAsia="zh-CN"/>
        </w:rPr>
        <w:t>圾无害化处理、卫生厕所普及及公共服务设施配套水平，农村村内道</w:t>
      </w:r>
      <w:r>
        <w:rPr>
          <w:rFonts w:hint="eastAsia" w:ascii="Times New Roman" w:hAnsi="Times New Roman" w:eastAsia="仿宋_GB2312" w:cs="Times New Roman"/>
          <w:spacing w:val="7"/>
          <w:sz w:val="32"/>
          <w:szCs w:val="32"/>
          <w:highlight w:val="none"/>
          <w:lang w:val="en-US" w:eastAsia="zh-CN"/>
        </w:rPr>
        <w:t>路硬化率实现100%，打造“整洁、</w:t>
      </w:r>
      <w:r>
        <w:rPr>
          <w:rFonts w:hint="eastAsia" w:ascii="仿宋_GB2312" w:hAnsi="仿宋_GB2312" w:eastAsia="仿宋_GB2312" w:cs="仿宋_GB2312"/>
          <w:spacing w:val="7"/>
          <w:sz w:val="32"/>
          <w:szCs w:val="32"/>
          <w:highlight w:val="none"/>
          <w:lang w:val="en-US" w:eastAsia="zh-CN"/>
        </w:rPr>
        <w:t>宜居、美丽”的农村发展新格局，增强村民幸福感。</w:t>
      </w:r>
    </w:p>
    <w:p w14:paraId="776345F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在煤炭产业发展上，加强“地矿”合作，优势互补推动煤炭产业升级。紧紧围绕保障能源安全、推动绿色低碳转型、提升产业竞争力等核心目标，推动发展方式向质量效益型转变，鼓励</w:t>
      </w:r>
      <w:r>
        <w:rPr>
          <w:rFonts w:hint="eastAsia" w:ascii="Times New Roman" w:hAnsi="Times New Roman" w:eastAsia="仿宋_GB2312" w:cs="Times New Roman"/>
          <w:spacing w:val="7"/>
          <w:sz w:val="32"/>
          <w:szCs w:val="32"/>
          <w:highlight w:val="none"/>
          <w:lang w:val="en-US" w:eastAsia="zh-CN"/>
        </w:rPr>
        <w:t>在区3家国</w:t>
      </w:r>
      <w:r>
        <w:rPr>
          <w:rFonts w:hint="eastAsia" w:ascii="仿宋_GB2312" w:hAnsi="仿宋_GB2312" w:eastAsia="仿宋_GB2312" w:cs="仿宋_GB2312"/>
          <w:spacing w:val="7"/>
          <w:sz w:val="32"/>
          <w:szCs w:val="32"/>
          <w:highlight w:val="none"/>
          <w:lang w:val="en-US" w:eastAsia="zh-CN"/>
        </w:rPr>
        <w:t>有煤矿（双阳煤矿、新安煤矿、东保卫煤矿）实施产业振兴计划，使传统产业生产要素向人才技术密集型转变、煤炭产品向原料与燃料并重转变、煤炭生产向智能化生产转变，行业高质量发展迈出坚实步伐。持续推进煤炭产能有序释放，立足煤炭资源禀赋和供需实际，以保障能源安全为中心，加快煤矿升级改造项目</w:t>
      </w:r>
      <w:r>
        <w:rPr>
          <w:rFonts w:hint="eastAsia" w:ascii="Times New Roman" w:hAnsi="Times New Roman" w:eastAsia="仿宋_GB2312" w:cs="Times New Roman"/>
          <w:spacing w:val="7"/>
          <w:sz w:val="32"/>
          <w:szCs w:val="32"/>
          <w:highlight w:val="none"/>
          <w:lang w:val="en-US" w:eastAsia="zh-CN"/>
        </w:rPr>
        <w:t>建设步伐，有序释放优质产能，提高煤炭供给能力，推进8家建设阶段煤矿升级改造进度，助力全区地矿产能实现435万吨/年。鼓励5家生产阶段煤矿通过煤矿智能化建设项目实施，加强科技创新，强化煤矿安全生产，普及机械化，加强数字化</w:t>
      </w:r>
      <w:r>
        <w:rPr>
          <w:rFonts w:hint="eastAsia" w:ascii="仿宋_GB2312" w:hAnsi="仿宋_GB2312" w:eastAsia="仿宋_GB2312" w:cs="仿宋_GB2312"/>
          <w:spacing w:val="7"/>
          <w:sz w:val="32"/>
          <w:szCs w:val="32"/>
          <w:highlight w:val="none"/>
          <w:lang w:val="en-US" w:eastAsia="zh-CN"/>
        </w:rPr>
        <w:t>、信息化，促进煤炭工业高质量发展。跨区域合作延长煤炭产业链条，以煤为“媒”，持续引进或盘活精选洗煤加工项目。</w:t>
      </w:r>
    </w:p>
    <w:p w14:paraId="0DDFF17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在其他工业转型升级上，培育壮大热力供应、电力生产、煤炭洗选为核心的规上工业产业，聚焦产业升级、提质增效、创新驱动、装备更新以及安全环保提升等领域，实现产业高端化、智能化、绿色化集聚发展，焕发产业全新活力。落实“双碳”目标，推动煤炭开采及煤炭洗选领域绿色转型。新开工地方煤矿严格按照绿色矿山标准建设，生产煤矿完成绿色矿山升级改造。推广充填开采、保水开采、瓦斯抽采利用等先进技术。提升煤矸石综合利用率，推动煤电行业节能降碳，优化煤炭储运网络。以大规模设备更新及超长期特别国债为切入点，促进热力供应、电力生产行业的进阶与重塑。推进火电设备更新和技术改造持续推动节能改造、供热改造和灵活性改造“三改联动”，进一步降低煤电机组能耗，提升机组灵活调节能力。支撑煤电低碳化发展，以机组安全性、可靠性为基础，大力推进设备安全更新改造。加快火电数字化设计建造和智能化升级，建设智能感知、智能诊断、智能控制、智慧运行的智能电厂。对热力供应设备老化腐蚀、热损耗高的问题，形成“存量改造+增量建设”阶梯式推进。推进清洁取暖设备更新改造，将清洁取暖设备纳入大规模设备更新行动，对使用年限到期的清洁取暖设备开展更新改造，因地制宜对清洁取暖技术路线进行优化升级，保障设备更新后长期可持续运转，确保群众“用得起、用得好”。</w:t>
      </w:r>
    </w:p>
    <w:p w14:paraId="335536BC">
      <w:pPr>
        <w:spacing w:before="34" w:line="226" w:lineRule="auto"/>
        <w:ind w:left="2064"/>
        <w:rPr>
          <w:rFonts w:hint="eastAsia" w:ascii="方正小标宋简体" w:hAnsi="方正小标宋简体" w:eastAsia="方正小标宋简体" w:cs="方正小标宋简体"/>
          <w:sz w:val="30"/>
          <w:szCs w:val="30"/>
          <w:highlight w:val="none"/>
        </w:rPr>
      </w:pPr>
      <w:r>
        <w:rPr>
          <w:rFonts w:hint="eastAsia" w:ascii="方正小标宋简体" w:hAnsi="方正小标宋简体" w:eastAsia="方正小标宋简体" w:cs="方正小标宋简体"/>
          <w:spacing w:val="6"/>
          <w:sz w:val="30"/>
          <w:szCs w:val="30"/>
          <w:highlight w:val="none"/>
          <w:lang w:val="en-US" w:eastAsia="zh-CN"/>
        </w:rPr>
        <w:t>表3</w:t>
      </w:r>
      <w:r>
        <w:rPr>
          <w:rFonts w:hint="eastAsia" w:ascii="方正小标宋简体" w:hAnsi="方正小标宋简体" w:eastAsia="方正小标宋简体" w:cs="方正小标宋简体"/>
          <w:spacing w:val="6"/>
          <w:sz w:val="30"/>
          <w:szCs w:val="30"/>
          <w:highlight w:val="none"/>
        </w:rPr>
        <w:t xml:space="preserve"> 传统产业改造提升工程</w:t>
      </w:r>
    </w:p>
    <w:p w14:paraId="4F5A9793">
      <w:pPr>
        <w:spacing w:line="68" w:lineRule="auto"/>
        <w:rPr>
          <w:rFonts w:ascii="Arial"/>
          <w:sz w:val="2"/>
          <w:highlight w:val="none"/>
        </w:rPr>
      </w:pP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3068"/>
        <w:gridCol w:w="4107"/>
      </w:tblGrid>
      <w:tr w14:paraId="15E19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129" w:type="dxa"/>
            <w:tcBorders>
              <w:top w:val="single" w:color="000000" w:sz="10" w:space="0"/>
              <w:left w:val="nil"/>
              <w:bottom w:val="single" w:color="000000" w:sz="10" w:space="0"/>
            </w:tcBorders>
            <w:vAlign w:val="top"/>
          </w:tcPr>
          <w:p w14:paraId="620F62CD">
            <w:pPr>
              <w:pStyle w:val="14"/>
              <w:spacing w:before="121" w:line="226" w:lineRule="auto"/>
              <w:ind w:left="270"/>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类别</w:t>
            </w:r>
          </w:p>
        </w:tc>
        <w:tc>
          <w:tcPr>
            <w:tcW w:w="3068" w:type="dxa"/>
            <w:tcBorders>
              <w:top w:val="single" w:color="000000" w:sz="10" w:space="0"/>
              <w:bottom w:val="single" w:color="000000" w:sz="10" w:space="0"/>
            </w:tcBorders>
            <w:vAlign w:val="top"/>
          </w:tcPr>
          <w:p w14:paraId="19E6AB17">
            <w:pPr>
              <w:pStyle w:val="14"/>
              <w:spacing w:before="121" w:line="228" w:lineRule="auto"/>
              <w:ind w:left="598"/>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发展目标</w:t>
            </w:r>
          </w:p>
        </w:tc>
        <w:tc>
          <w:tcPr>
            <w:tcW w:w="4107" w:type="dxa"/>
            <w:tcBorders>
              <w:top w:val="single" w:color="000000" w:sz="10" w:space="0"/>
              <w:bottom w:val="single" w:color="000000" w:sz="10" w:space="0"/>
              <w:right w:val="nil"/>
            </w:tcBorders>
            <w:vAlign w:val="top"/>
          </w:tcPr>
          <w:p w14:paraId="11A77A8D">
            <w:pPr>
              <w:pStyle w:val="14"/>
              <w:spacing w:before="121" w:line="228" w:lineRule="auto"/>
              <w:jc w:val="center"/>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工作任务及重点</w:t>
            </w:r>
            <w:r>
              <w:rPr>
                <w:rFonts w:hint="eastAsia" w:ascii="黑体" w:hAnsi="黑体" w:eastAsia="黑体" w:cs="黑体"/>
                <w:b w:val="0"/>
                <w:bCs w:val="0"/>
                <w:spacing w:val="2"/>
                <w:sz w:val="24"/>
                <w:szCs w:val="24"/>
                <w:highlight w:val="none"/>
              </w:rPr>
              <w:t>项目</w:t>
            </w:r>
          </w:p>
        </w:tc>
      </w:tr>
      <w:tr w14:paraId="0E31A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1129" w:type="dxa"/>
            <w:tcBorders>
              <w:top w:val="single" w:color="000000" w:sz="10" w:space="0"/>
              <w:left w:val="nil"/>
            </w:tcBorders>
            <w:vAlign w:val="center"/>
          </w:tcPr>
          <w:p w14:paraId="7A8D9038">
            <w:pPr>
              <w:pStyle w:val="14"/>
              <w:spacing w:before="75" w:line="320" w:lineRule="auto"/>
              <w:ind w:right="18"/>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现代化农业产业</w:t>
            </w:r>
          </w:p>
        </w:tc>
        <w:tc>
          <w:tcPr>
            <w:tcW w:w="3068" w:type="dxa"/>
            <w:tcBorders>
              <w:top w:val="single" w:color="000000" w:sz="10" w:space="0"/>
            </w:tcBorders>
            <w:vAlign w:val="center"/>
          </w:tcPr>
          <w:p w14:paraId="4E958B25">
            <w:pPr>
              <w:pStyle w:val="14"/>
              <w:spacing w:before="75" w:line="320" w:lineRule="auto"/>
              <w:ind w:right="18"/>
              <w:jc w:val="left"/>
              <w:rPr>
                <w:rFonts w:hint="eastAsia" w:ascii="仿宋_GB2312" w:hAnsi="仿宋_GB2312" w:eastAsia="仿宋_GB2312" w:cs="仿宋_GB2312"/>
                <w:sz w:val="24"/>
                <w:szCs w:val="24"/>
                <w:highlight w:val="none"/>
                <w:lang w:val="en-US"/>
              </w:rPr>
            </w:pPr>
            <w:r>
              <w:rPr>
                <w:rFonts w:hint="eastAsia" w:ascii="仿宋_GB2312" w:hAnsi="仿宋_GB2312" w:eastAsia="仿宋_GB2312" w:cs="仿宋_GB2312"/>
                <w:spacing w:val="5"/>
                <w:sz w:val="24"/>
                <w:szCs w:val="24"/>
                <w:highlight w:val="none"/>
                <w:lang w:val="en-US" w:eastAsia="zh-CN"/>
              </w:rPr>
              <w:t>建设高标准农田1.43万亩。加快实现一产与二产三产融合发展。加快乡村振兴建设，提升农民生产生活水平</w:t>
            </w:r>
          </w:p>
        </w:tc>
        <w:tc>
          <w:tcPr>
            <w:tcW w:w="4107" w:type="dxa"/>
            <w:tcBorders>
              <w:top w:val="single" w:color="000000" w:sz="10" w:space="0"/>
              <w:right w:val="nil"/>
            </w:tcBorders>
            <w:vAlign w:val="center"/>
          </w:tcPr>
          <w:p w14:paraId="032F2EC1">
            <w:pPr>
              <w:pStyle w:val="14"/>
              <w:spacing w:before="75" w:line="320" w:lineRule="auto"/>
              <w:ind w:right="1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宝山区高标准农田建设工程项目。以食用菌种植、鹅养殖为代表构建现代农业融合发展体系。提升乡村振兴衔接资金争取及使用质效</w:t>
            </w:r>
          </w:p>
        </w:tc>
      </w:tr>
      <w:tr w14:paraId="141B4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jc w:val="center"/>
        </w:trPr>
        <w:tc>
          <w:tcPr>
            <w:tcW w:w="1129" w:type="dxa"/>
            <w:tcBorders>
              <w:left w:val="nil"/>
            </w:tcBorders>
            <w:vAlign w:val="center"/>
          </w:tcPr>
          <w:p w14:paraId="146EE106">
            <w:pPr>
              <w:spacing w:line="257" w:lineRule="auto"/>
              <w:jc w:val="center"/>
              <w:rPr>
                <w:rFonts w:hint="eastAsia" w:ascii="仿宋_GB2312" w:hAnsi="仿宋_GB2312" w:eastAsia="仿宋_GB2312" w:cs="仿宋_GB2312"/>
                <w:sz w:val="24"/>
                <w:szCs w:val="24"/>
                <w:highlight w:val="none"/>
              </w:rPr>
            </w:pPr>
          </w:p>
          <w:p w14:paraId="55F9AE8D">
            <w:pPr>
              <w:pStyle w:val="14"/>
              <w:spacing w:before="75" w:line="318" w:lineRule="auto"/>
              <w:ind w:left="267" w:right="18" w:hanging="24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煤炭产业</w:t>
            </w:r>
          </w:p>
        </w:tc>
        <w:tc>
          <w:tcPr>
            <w:tcW w:w="3068" w:type="dxa"/>
            <w:vAlign w:val="center"/>
          </w:tcPr>
          <w:p w14:paraId="60990AB2">
            <w:pPr>
              <w:pStyle w:val="14"/>
              <w:spacing w:before="75" w:line="320" w:lineRule="auto"/>
              <w:ind w:right="18"/>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深化“地矿合作”，推动煤炭产业升级，鼓励升级改造及在产矿井排水、供电、架空乘人设施实现智能化管理。地矿产能实现435万吨/年</w:t>
            </w:r>
          </w:p>
        </w:tc>
        <w:tc>
          <w:tcPr>
            <w:tcW w:w="4107" w:type="dxa"/>
            <w:tcBorders>
              <w:right w:val="nil"/>
            </w:tcBorders>
            <w:vAlign w:val="center"/>
          </w:tcPr>
          <w:p w14:paraId="6937230D">
            <w:pPr>
              <w:pStyle w:val="14"/>
              <w:spacing w:before="75" w:line="320" w:lineRule="auto"/>
              <w:ind w:right="1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推进8家建设煤矿升级改造进度。实施在产及升级改造矿井机械化、数字化、信息化管理水平提升工程。谋划煤化工产业，实现从煤炭产出到煤炭加工的全产业链质效提升</w:t>
            </w:r>
          </w:p>
        </w:tc>
      </w:tr>
      <w:tr w14:paraId="6BA8E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jc w:val="center"/>
        </w:trPr>
        <w:tc>
          <w:tcPr>
            <w:tcW w:w="1129" w:type="dxa"/>
            <w:tcBorders>
              <w:left w:val="nil"/>
              <w:bottom w:val="single" w:color="000000" w:sz="10" w:space="0"/>
            </w:tcBorders>
            <w:vAlign w:val="center"/>
          </w:tcPr>
          <w:p w14:paraId="5534EFD9">
            <w:pPr>
              <w:pStyle w:val="14"/>
              <w:spacing w:before="75" w:line="318" w:lineRule="auto"/>
              <w:ind w:left="267" w:right="18" w:hanging="241"/>
              <w:jc w:val="center"/>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其他工业</w:t>
            </w:r>
          </w:p>
        </w:tc>
        <w:tc>
          <w:tcPr>
            <w:tcW w:w="3068" w:type="dxa"/>
            <w:tcBorders>
              <w:bottom w:val="single" w:color="000000" w:sz="10" w:space="0"/>
            </w:tcBorders>
            <w:vAlign w:val="center"/>
          </w:tcPr>
          <w:p w14:paraId="4C49531B">
            <w:pPr>
              <w:pStyle w:val="14"/>
              <w:spacing w:before="75" w:line="320" w:lineRule="auto"/>
              <w:ind w:right="18"/>
              <w:jc w:val="left"/>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降低煤炭机组能耗，提升机组灵活调节能力。加快火电数字化设计建造和智能化升级。依托资源优势加大石灰石矿及铁矿开发力度</w:t>
            </w:r>
          </w:p>
        </w:tc>
        <w:tc>
          <w:tcPr>
            <w:tcW w:w="4107" w:type="dxa"/>
            <w:tcBorders>
              <w:bottom w:val="single" w:color="000000" w:sz="10" w:space="0"/>
              <w:right w:val="nil"/>
            </w:tcBorders>
            <w:vAlign w:val="center"/>
          </w:tcPr>
          <w:p w14:paraId="7FABF35C">
            <w:pPr>
              <w:pStyle w:val="14"/>
              <w:spacing w:before="75" w:line="320" w:lineRule="auto"/>
              <w:ind w:right="1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color w:val="000000" w:themeColor="text1"/>
                <w:spacing w:val="5"/>
                <w:sz w:val="24"/>
                <w:szCs w:val="24"/>
                <w:highlight w:val="none"/>
                <w:lang w:val="en-US" w:eastAsia="zh-CN"/>
                <w14:textFill>
                  <w14:solidFill>
                    <w14:schemeClr w14:val="tx1"/>
                  </w14:solidFill>
                </w14:textFill>
              </w:rPr>
              <w:t>大理岩开采加工项目</w:t>
            </w:r>
            <w:r>
              <w:rPr>
                <w:rFonts w:hint="eastAsia" w:ascii="仿宋_GB2312" w:hAnsi="仿宋_GB2312" w:eastAsia="仿宋_GB2312" w:cs="仿宋_GB2312"/>
                <w:spacing w:val="5"/>
                <w:sz w:val="24"/>
                <w:szCs w:val="24"/>
                <w:highlight w:val="none"/>
                <w:lang w:val="en-US" w:eastAsia="zh-CN"/>
              </w:rPr>
              <w:t>。推进煤电企业实施设备更新，推进清洁取暖设备更新改造</w:t>
            </w:r>
          </w:p>
        </w:tc>
      </w:tr>
    </w:tbl>
    <w:p w14:paraId="11A9ABDC">
      <w:pPr>
        <w:bidi w:val="0"/>
        <w:rPr>
          <w:rFonts w:hint="eastAsia"/>
          <w:highlight w:val="none"/>
          <w:lang w:val="en-US" w:eastAsia="zh-CN"/>
        </w:rPr>
      </w:pPr>
    </w:p>
    <w:p w14:paraId="20D8EA26">
      <w:pPr>
        <w:pStyle w:val="5"/>
        <w:ind w:left="0" w:leftChars="0" w:firstLine="0" w:firstLineChars="0"/>
        <w:rPr>
          <w:rFonts w:hint="eastAsia"/>
          <w:highlight w:val="none"/>
          <w:lang w:val="en-US" w:eastAsia="zh-CN"/>
        </w:rPr>
      </w:pPr>
    </w:p>
    <w:p w14:paraId="4C433C09">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48" w:name="_Toc19483"/>
      <w:r>
        <w:rPr>
          <w:rFonts w:hint="eastAsia"/>
          <w:b w:val="0"/>
          <w:bCs/>
          <w:highlight w:val="none"/>
          <w:lang w:val="en-US" w:eastAsia="zh-CN"/>
        </w:rPr>
        <w:t>第三节 发展战略性新兴产业及谋划未来产业</w:t>
      </w:r>
      <w:bookmarkEnd w:id="48"/>
    </w:p>
    <w:p w14:paraId="07BEFEC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快形成同新质生产力相适应的生产关系，构建现代化产业体系，以现有优势产业为基础，依托生物经济、数字经济、新能源产业优势潜力释放，不断壮大战略性新兴产业比重，全面提升新材料领域对全区战略性新兴产业拉动效应。</w:t>
      </w:r>
    </w:p>
    <w:p w14:paraId="1702C03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深挖特色资源优势，促进生物经济发展。</w:t>
      </w:r>
      <w:r>
        <w:rPr>
          <w:rFonts w:hint="eastAsia" w:ascii="仿宋_GB2312" w:hAnsi="仿宋_GB2312" w:eastAsia="仿宋_GB2312" w:cs="仿宋_GB2312"/>
          <w:spacing w:val="7"/>
          <w:sz w:val="32"/>
          <w:szCs w:val="32"/>
          <w:highlight w:val="none"/>
          <w:lang w:val="en-US" w:eastAsia="zh-CN"/>
        </w:rPr>
        <w:t>聚焦生物制造、生物农业等发展优势，加快形成以食用菌、发酵技术应用、特色棚室种植为核心的生物经济产业链。推进食用菌高质量发展工程。依托南瓮泉种植合作社食用菌种植基础，完善运营与利益联结机制，推动食用菌产业高质量发展。依托大叶沟林场泡菜生产基地，打造“林区泡菜”区域品牌，整合酒厂、酒庄资源，提升白酒、山葡萄酒加工工艺，推动“林产品+酒文化”融合开发，实现生物经济全链条协同。</w:t>
      </w:r>
    </w:p>
    <w:p w14:paraId="7310BBF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构建以风光为主的新能源产业发展体系。</w:t>
      </w:r>
      <w:r>
        <w:rPr>
          <w:rFonts w:hint="eastAsia" w:ascii="仿宋_GB2312" w:hAnsi="仿宋_GB2312" w:eastAsia="仿宋_GB2312" w:cs="仿宋_GB2312"/>
          <w:spacing w:val="7"/>
          <w:sz w:val="32"/>
          <w:szCs w:val="32"/>
          <w:highlight w:val="none"/>
          <w:lang w:val="en-US" w:eastAsia="zh-CN"/>
        </w:rPr>
        <w:t>立足自身资源禀赋和产业基础，紧跟新能源领域发展方向，持续推动新能源产业高质量发展，努力打造我市最大光伏能源产出区域及风力发电协调发</w:t>
      </w:r>
      <w:r>
        <w:rPr>
          <w:rFonts w:hint="eastAsia" w:ascii="Times New Roman" w:hAnsi="Times New Roman" w:eastAsia="仿宋_GB2312" w:cs="Times New Roman"/>
          <w:spacing w:val="7"/>
          <w:sz w:val="32"/>
          <w:szCs w:val="32"/>
          <w:highlight w:val="none"/>
          <w:lang w:val="en-US" w:eastAsia="zh-CN"/>
        </w:rPr>
        <w:t>展区域。到2030年，新能源电力总装机容量稳定在147兆瓦以上。</w:t>
      </w:r>
    </w:p>
    <w:p w14:paraId="784AD1C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加快发展数字经济，促进数字经济和实体经济深度融合。</w:t>
      </w:r>
      <w:r>
        <w:rPr>
          <w:rFonts w:hint="eastAsia" w:ascii="仿宋_GB2312" w:hAnsi="仿宋_GB2312" w:eastAsia="仿宋_GB2312" w:cs="仿宋_GB2312"/>
          <w:spacing w:val="7"/>
          <w:sz w:val="32"/>
          <w:szCs w:val="32"/>
          <w:highlight w:val="none"/>
          <w:lang w:val="en-US" w:eastAsia="zh-CN"/>
        </w:rPr>
        <w:t>深化产业数字化转型赋能，加快推动数据要素价值释放，促进数字经济与实体经济深度融合，释放数字经济对传统产业赋能效应，激活传统产业新动能。以数字产业化发展支撑传统产业升级及关键领域技术突破，依托区域实际，适时引进超算或智算项目，为省外其他地区提供算力输出，通过产业数字化和数字产业化双向发力，实现数字经济规模与质量双提升。</w:t>
      </w:r>
    </w:p>
    <w:p w14:paraId="22075F7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突出抓好新材料领域发展。</w:t>
      </w:r>
      <w:r>
        <w:rPr>
          <w:rFonts w:hint="eastAsia" w:ascii="仿宋_GB2312" w:hAnsi="仿宋_GB2312" w:eastAsia="仿宋_GB2312" w:cs="仿宋_GB2312"/>
          <w:spacing w:val="7"/>
          <w:sz w:val="32"/>
          <w:szCs w:val="32"/>
          <w:highlight w:val="none"/>
          <w:lang w:val="en-US" w:eastAsia="zh-CN"/>
        </w:rPr>
        <w:t>全面破解产业链层级低、环保隐患多的问题，通过研发端推动技术迭代、布局多梯度产品体系、构建绿色产能标准体系等有效手段推动石墨产业实现根本性革新，以</w:t>
      </w:r>
      <w:r>
        <w:rPr>
          <w:rFonts w:hint="eastAsia" w:ascii="Times New Roman" w:hAnsi="Times New Roman" w:eastAsia="仿宋_GB2312" w:cs="Times New Roman"/>
          <w:spacing w:val="7"/>
          <w:sz w:val="32"/>
          <w:szCs w:val="32"/>
          <w:highlight w:val="none"/>
          <w:lang w:val="en-US" w:eastAsia="zh-CN"/>
        </w:rPr>
        <w:t>年产10万吨天然石墨负</w:t>
      </w:r>
      <w:r>
        <w:rPr>
          <w:rFonts w:hint="eastAsia" w:ascii="仿宋_GB2312" w:hAnsi="仿宋_GB2312" w:eastAsia="仿宋_GB2312" w:cs="仿宋_GB2312"/>
          <w:spacing w:val="7"/>
          <w:sz w:val="32"/>
          <w:szCs w:val="32"/>
          <w:highlight w:val="none"/>
          <w:lang w:val="en-US" w:eastAsia="zh-CN"/>
        </w:rPr>
        <w:t>极材料项目为根基，助力全市石墨经济从开采、加工到应用的完整产业链构建。</w:t>
      </w:r>
    </w:p>
    <w:p w14:paraId="38A70419">
      <w:pPr>
        <w:spacing w:before="34" w:line="226" w:lineRule="auto"/>
        <w:ind w:left="1903"/>
        <w:rPr>
          <w:rFonts w:hint="eastAsia" w:ascii="方正小标宋简体" w:hAnsi="方正小标宋简体" w:eastAsia="方正小标宋简体" w:cs="方正小标宋简体"/>
          <w:sz w:val="30"/>
          <w:szCs w:val="30"/>
          <w:highlight w:val="none"/>
        </w:rPr>
      </w:pPr>
      <w:r>
        <w:rPr>
          <w:rFonts w:hint="eastAsia" w:ascii="方正小标宋简体" w:hAnsi="方正小标宋简体" w:eastAsia="方正小标宋简体" w:cs="方正小标宋简体"/>
          <w:spacing w:val="7"/>
          <w:sz w:val="30"/>
          <w:szCs w:val="30"/>
          <w:highlight w:val="none"/>
          <w:lang w:val="en-US" w:eastAsia="zh-CN"/>
        </w:rPr>
        <w:t xml:space="preserve">表4  </w:t>
      </w:r>
      <w:r>
        <w:rPr>
          <w:rFonts w:hint="eastAsia" w:ascii="方正小标宋简体" w:hAnsi="方正小标宋简体" w:eastAsia="方正小标宋简体" w:cs="方正小标宋简体"/>
          <w:spacing w:val="7"/>
          <w:sz w:val="30"/>
          <w:szCs w:val="30"/>
          <w:highlight w:val="none"/>
        </w:rPr>
        <w:t>新兴产业与未来产业工程</w:t>
      </w:r>
    </w:p>
    <w:p w14:paraId="1652BA2D">
      <w:pPr>
        <w:spacing w:line="48" w:lineRule="auto"/>
        <w:rPr>
          <w:rFonts w:ascii="Arial"/>
          <w:sz w:val="2"/>
          <w:highlight w:val="none"/>
        </w:rPr>
      </w:pPr>
    </w:p>
    <w:tbl>
      <w:tblPr>
        <w:tblStyle w:val="13"/>
        <w:tblW w:w="830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9"/>
        <w:gridCol w:w="3454"/>
        <w:gridCol w:w="4038"/>
      </w:tblGrid>
      <w:tr w14:paraId="0A494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jc w:val="center"/>
        </w:trPr>
        <w:tc>
          <w:tcPr>
            <w:tcW w:w="809" w:type="dxa"/>
            <w:tcBorders>
              <w:top w:val="single" w:color="000000" w:sz="10" w:space="0"/>
              <w:left w:val="nil"/>
              <w:bottom w:val="single" w:color="000000" w:sz="10" w:space="0"/>
            </w:tcBorders>
            <w:vAlign w:val="top"/>
          </w:tcPr>
          <w:p w14:paraId="44B42430">
            <w:pPr>
              <w:spacing w:before="123" w:line="228" w:lineRule="auto"/>
              <w:ind w:left="199"/>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类别</w:t>
            </w:r>
          </w:p>
        </w:tc>
        <w:tc>
          <w:tcPr>
            <w:tcW w:w="3454" w:type="dxa"/>
            <w:tcBorders>
              <w:top w:val="single" w:color="000000" w:sz="10" w:space="0"/>
              <w:bottom w:val="single" w:color="000000" w:sz="10" w:space="0"/>
            </w:tcBorders>
            <w:vAlign w:val="top"/>
          </w:tcPr>
          <w:p w14:paraId="4F27D231">
            <w:pPr>
              <w:spacing w:before="123" w:line="228" w:lineRule="auto"/>
              <w:ind w:left="846"/>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发展目标</w:t>
            </w:r>
          </w:p>
        </w:tc>
        <w:tc>
          <w:tcPr>
            <w:tcW w:w="4038" w:type="dxa"/>
            <w:tcBorders>
              <w:top w:val="single" w:color="000000" w:sz="10" w:space="0"/>
              <w:bottom w:val="single" w:color="000000" w:sz="10" w:space="0"/>
              <w:right w:val="nil"/>
            </w:tcBorders>
            <w:vAlign w:val="top"/>
          </w:tcPr>
          <w:p w14:paraId="65966DBB">
            <w:pPr>
              <w:spacing w:before="123" w:line="228" w:lineRule="auto"/>
              <w:ind w:left="1955"/>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重点项目</w:t>
            </w:r>
          </w:p>
        </w:tc>
      </w:tr>
      <w:tr w14:paraId="2638F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jc w:val="center"/>
        </w:trPr>
        <w:tc>
          <w:tcPr>
            <w:tcW w:w="809" w:type="dxa"/>
            <w:tcBorders>
              <w:top w:val="single" w:color="000000" w:sz="10" w:space="0"/>
              <w:left w:val="nil"/>
            </w:tcBorders>
            <w:vAlign w:val="center"/>
          </w:tcPr>
          <w:p w14:paraId="0321EA54">
            <w:pPr>
              <w:pStyle w:val="14"/>
              <w:spacing w:before="308" w:line="322" w:lineRule="auto"/>
              <w:ind w:left="18" w:right="89" w:hanging="2"/>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生物经济产业</w:t>
            </w:r>
          </w:p>
        </w:tc>
        <w:tc>
          <w:tcPr>
            <w:tcW w:w="3454" w:type="dxa"/>
            <w:tcBorders>
              <w:top w:val="single" w:color="000000" w:sz="10" w:space="0"/>
            </w:tcBorders>
            <w:vAlign w:val="center"/>
          </w:tcPr>
          <w:p w14:paraId="47435B91">
            <w:pPr>
              <w:pStyle w:val="14"/>
              <w:spacing w:before="308" w:line="322" w:lineRule="auto"/>
              <w:ind w:left="18" w:right="89" w:hanging="2"/>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加快形成以食用菌、发酵技术应用、特色棚室种植、为核心的生物经济产业链</w:t>
            </w:r>
          </w:p>
        </w:tc>
        <w:tc>
          <w:tcPr>
            <w:tcW w:w="4038" w:type="dxa"/>
            <w:tcBorders>
              <w:top w:val="single" w:color="000000" w:sz="10" w:space="0"/>
              <w:right w:val="nil"/>
            </w:tcBorders>
            <w:vAlign w:val="center"/>
          </w:tcPr>
          <w:p w14:paraId="71DA7220">
            <w:pPr>
              <w:pStyle w:val="14"/>
              <w:spacing w:before="308" w:line="322" w:lineRule="auto"/>
              <w:ind w:right="8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提升南瓮泉种植合作社食用菌种植加工能力。打造“林区泡菜”区域品牌。推动“林产品+酒文化”融合开发</w:t>
            </w:r>
          </w:p>
        </w:tc>
      </w:tr>
      <w:tr w14:paraId="49D58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jc w:val="center"/>
        </w:trPr>
        <w:tc>
          <w:tcPr>
            <w:tcW w:w="809" w:type="dxa"/>
            <w:tcBorders>
              <w:left w:val="nil"/>
            </w:tcBorders>
            <w:vAlign w:val="center"/>
          </w:tcPr>
          <w:p w14:paraId="713CA22B">
            <w:pPr>
              <w:pStyle w:val="14"/>
              <w:spacing w:before="308" w:line="322" w:lineRule="auto"/>
              <w:ind w:right="89"/>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新能源产业</w:t>
            </w:r>
          </w:p>
        </w:tc>
        <w:tc>
          <w:tcPr>
            <w:tcW w:w="3454" w:type="dxa"/>
            <w:vAlign w:val="center"/>
          </w:tcPr>
          <w:p w14:paraId="5EAD41C0">
            <w:pPr>
              <w:pStyle w:val="14"/>
              <w:spacing w:before="308" w:line="322" w:lineRule="auto"/>
              <w:ind w:right="89"/>
              <w:jc w:val="left"/>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以光伏能源为突破口，努力打造我市最大光伏能源产出区域及风力发电协调发展区域</w:t>
            </w:r>
          </w:p>
        </w:tc>
        <w:tc>
          <w:tcPr>
            <w:tcW w:w="4038" w:type="dxa"/>
            <w:tcBorders>
              <w:right w:val="nil"/>
            </w:tcBorders>
            <w:vAlign w:val="center"/>
          </w:tcPr>
          <w:p w14:paraId="1FC0E828">
            <w:pPr>
              <w:pStyle w:val="14"/>
              <w:spacing w:before="308" w:line="322" w:lineRule="auto"/>
              <w:ind w:left="18" w:right="89" w:hanging="2"/>
              <w:jc w:val="left"/>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国能8万千瓦复合光伏发电项目竣工投产</w:t>
            </w:r>
          </w:p>
        </w:tc>
      </w:tr>
      <w:tr w14:paraId="7ADA7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2" w:hRule="atLeast"/>
          <w:jc w:val="center"/>
        </w:trPr>
        <w:tc>
          <w:tcPr>
            <w:tcW w:w="809" w:type="dxa"/>
            <w:tcBorders>
              <w:left w:val="nil"/>
            </w:tcBorders>
            <w:vAlign w:val="center"/>
          </w:tcPr>
          <w:p w14:paraId="1AF7517B">
            <w:pPr>
              <w:pStyle w:val="14"/>
              <w:spacing w:before="308" w:line="322" w:lineRule="auto"/>
              <w:ind w:left="18" w:right="89" w:hanging="2"/>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数字经济</w:t>
            </w:r>
          </w:p>
        </w:tc>
        <w:tc>
          <w:tcPr>
            <w:tcW w:w="3454" w:type="dxa"/>
            <w:vAlign w:val="center"/>
          </w:tcPr>
          <w:p w14:paraId="0F056542">
            <w:pPr>
              <w:pStyle w:val="14"/>
              <w:spacing w:before="308" w:line="322" w:lineRule="auto"/>
              <w:ind w:right="89"/>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6"/>
                <w:sz w:val="24"/>
                <w:szCs w:val="24"/>
                <w:highlight w:val="none"/>
                <w:lang w:val="en-US" w:eastAsia="zh-CN"/>
              </w:rPr>
              <w:t>以数字产业发展支撑传统产业升级及关键领域技术突破</w:t>
            </w:r>
          </w:p>
        </w:tc>
        <w:tc>
          <w:tcPr>
            <w:tcW w:w="4038" w:type="dxa"/>
            <w:tcBorders>
              <w:right w:val="nil"/>
            </w:tcBorders>
            <w:vAlign w:val="center"/>
          </w:tcPr>
          <w:p w14:paraId="53FDFF0F">
            <w:pPr>
              <w:pStyle w:val="14"/>
              <w:spacing w:before="117" w:line="296" w:lineRule="auto"/>
              <w:ind w:right="3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实施传统产业数字化改造工程</w:t>
            </w:r>
          </w:p>
        </w:tc>
      </w:tr>
      <w:tr w14:paraId="63256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jc w:val="center"/>
        </w:trPr>
        <w:tc>
          <w:tcPr>
            <w:tcW w:w="809" w:type="dxa"/>
            <w:tcBorders>
              <w:left w:val="nil"/>
              <w:bottom w:val="single" w:color="000000" w:sz="10" w:space="0"/>
            </w:tcBorders>
            <w:vAlign w:val="center"/>
          </w:tcPr>
          <w:p w14:paraId="0E0009B4">
            <w:pPr>
              <w:pStyle w:val="14"/>
              <w:spacing w:before="308" w:line="322" w:lineRule="auto"/>
              <w:ind w:left="18" w:right="89" w:hanging="2"/>
              <w:jc w:val="center"/>
              <w:rPr>
                <w:rFonts w:hint="eastAsia" w:ascii="仿宋_GB2312" w:hAnsi="仿宋_GB2312" w:eastAsia="仿宋_GB2312" w:cs="仿宋_GB2312"/>
                <w:spacing w:val="4"/>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新材料领域</w:t>
            </w:r>
          </w:p>
        </w:tc>
        <w:tc>
          <w:tcPr>
            <w:tcW w:w="3454" w:type="dxa"/>
            <w:tcBorders>
              <w:bottom w:val="single" w:color="000000" w:sz="10" w:space="0"/>
            </w:tcBorders>
            <w:vAlign w:val="center"/>
          </w:tcPr>
          <w:p w14:paraId="04E5E293">
            <w:pPr>
              <w:pStyle w:val="14"/>
              <w:spacing w:before="308" w:line="322" w:lineRule="auto"/>
              <w:ind w:right="89"/>
              <w:jc w:val="left"/>
              <w:rPr>
                <w:rFonts w:hint="eastAsia" w:ascii="仿宋_GB2312" w:hAnsi="仿宋_GB2312" w:eastAsia="仿宋_GB2312" w:cs="仿宋_GB2312"/>
                <w:spacing w:val="4"/>
                <w:sz w:val="24"/>
                <w:szCs w:val="24"/>
                <w:highlight w:val="none"/>
              </w:rPr>
            </w:pPr>
            <w:r>
              <w:rPr>
                <w:rFonts w:hint="eastAsia" w:ascii="仿宋_GB2312" w:hAnsi="仿宋_GB2312" w:eastAsia="仿宋_GB2312" w:cs="仿宋_GB2312"/>
                <w:sz w:val="24"/>
                <w:szCs w:val="24"/>
                <w:highlight w:val="none"/>
                <w:lang w:val="en-US" w:eastAsia="zh-CN"/>
              </w:rPr>
              <w:t>以石墨材料为根基，完善上下游配套，优先发展储能材料产业和密封加热净化材料产业。</w:t>
            </w:r>
            <w:r>
              <w:rPr>
                <w:rFonts w:hint="eastAsia" w:ascii="仿宋_GB2312" w:hAnsi="仿宋_GB2312" w:eastAsia="仿宋_GB2312" w:cs="仿宋_GB2312"/>
                <w:spacing w:val="6"/>
                <w:sz w:val="24"/>
                <w:szCs w:val="24"/>
                <w:highlight w:val="none"/>
                <w:lang w:val="en-US" w:eastAsia="zh-CN"/>
              </w:rPr>
              <w:t>助力全市石墨经济从开采、加工到应用的完整产业链构建</w:t>
            </w:r>
          </w:p>
        </w:tc>
        <w:tc>
          <w:tcPr>
            <w:tcW w:w="4038" w:type="dxa"/>
            <w:tcBorders>
              <w:bottom w:val="single" w:color="000000" w:sz="10" w:space="0"/>
              <w:right w:val="nil"/>
            </w:tcBorders>
            <w:vAlign w:val="center"/>
          </w:tcPr>
          <w:p w14:paraId="772299BB">
            <w:pPr>
              <w:pStyle w:val="14"/>
              <w:spacing w:before="117" w:line="296" w:lineRule="auto"/>
              <w:ind w:right="31"/>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年产10万吨天然石墨负极材料项目投产</w:t>
            </w:r>
          </w:p>
        </w:tc>
      </w:tr>
      <w:bookmarkEnd w:id="45"/>
      <w:bookmarkEnd w:id="46"/>
      <w:bookmarkEnd w:id="47"/>
    </w:tbl>
    <w:p w14:paraId="604CBDD6">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49" w:name="bookmark74"/>
      <w:bookmarkEnd w:id="49"/>
      <w:bookmarkStart w:id="50" w:name="_Toc18501"/>
      <w:r>
        <w:rPr>
          <w:rFonts w:hint="eastAsia"/>
          <w:b w:val="0"/>
          <w:bCs/>
          <w:highlight w:val="none"/>
          <w:lang w:val="en-US" w:eastAsia="zh-CN"/>
        </w:rPr>
        <w:t>第四节 科技创新引领发展</w:t>
      </w:r>
      <w:bookmarkEnd w:id="50"/>
    </w:p>
    <w:p w14:paraId="3115E85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科技创新是推动经济社会发展的重要力量，“十五五”时期，宝山区将坚持把振兴发展的基点放在创新上，着力加强科技成果引进和转化，促进创新资源市场化配置，全力实施“科技型企业培育计划”。</w:t>
      </w:r>
      <w:r>
        <w:rPr>
          <w:rFonts w:hint="eastAsia" w:ascii="Times New Roman" w:hAnsi="Times New Roman" w:eastAsia="仿宋_GB2312" w:cs="Times New Roman"/>
          <w:spacing w:val="7"/>
          <w:sz w:val="32"/>
          <w:szCs w:val="32"/>
          <w:highlight w:val="none"/>
          <w:lang w:val="en-US" w:eastAsia="zh-CN"/>
        </w:rPr>
        <w:t>力争2030年，高新技术企业突破2家，科技型中小企业突破3家，在创新资源集聚，产业竞争力上取得明显成效。</w:t>
      </w:r>
    </w:p>
    <w:p w14:paraId="0216C92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深化创新体系建设。</w:t>
      </w:r>
      <w:r>
        <w:rPr>
          <w:rFonts w:hint="eastAsia" w:ascii="仿宋_GB2312" w:hAnsi="仿宋_GB2312" w:eastAsia="仿宋_GB2312" w:cs="仿宋_GB2312"/>
          <w:spacing w:val="7"/>
          <w:sz w:val="32"/>
          <w:szCs w:val="32"/>
          <w:highlight w:val="none"/>
          <w:lang w:val="en-US" w:eastAsia="zh-CN"/>
        </w:rPr>
        <w:t>完善科技创新体系，建立健全以企业为主体，以市场为导向，产学研深度融合的科技创新体系，推动科技创新与经济社会发展深度融合。鼓励重点国有及地方企业增加研发投入，提高企业科技创新投入强度，加强科技创新平台建设，鼓励企业建立“研发飞地”，实现“技术研发在异地、成果转化在宝山”，不断提高科技创新资源配置效率，推动科技成果转化。</w:t>
      </w:r>
    </w:p>
    <w:p w14:paraId="31A2B2B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提升科技创新能力。</w:t>
      </w:r>
      <w:r>
        <w:rPr>
          <w:rFonts w:hint="eastAsia" w:ascii="仿宋_GB2312" w:hAnsi="仿宋_GB2312" w:eastAsia="仿宋_GB2312" w:cs="仿宋_GB2312"/>
          <w:spacing w:val="7"/>
          <w:sz w:val="32"/>
          <w:szCs w:val="32"/>
          <w:highlight w:val="none"/>
          <w:lang w:val="en-US" w:eastAsia="zh-CN"/>
        </w:rPr>
        <w:t>加大基础研究投入，鼓励有科研能力的机构参与企业生产技术性研究，为科技创新提供源头活水。支持中小企业以零起点参与科技创新，培育一批有潜力的创新型储备企业。加强知识产权保护，强化科技成果转化机制，营造良好的创新环境。重点支持双兴技术、方直科技快速发展。</w:t>
      </w:r>
    </w:p>
    <w:p w14:paraId="5BDDF98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完善人才培养体系。</w:t>
      </w:r>
      <w:r>
        <w:rPr>
          <w:rFonts w:hint="eastAsia" w:ascii="仿宋_GB2312" w:hAnsi="仿宋_GB2312" w:eastAsia="仿宋_GB2312" w:cs="仿宋_GB2312"/>
          <w:spacing w:val="7"/>
          <w:sz w:val="32"/>
          <w:szCs w:val="32"/>
          <w:highlight w:val="none"/>
          <w:lang w:val="en-US" w:eastAsia="zh-CN"/>
        </w:rPr>
        <w:t>加强与科研机构及高等学府合作，依托宝山人才工作站、创业实训基地，通过政校企合作、柔性引才、刚性引才等有效举措，</w:t>
      </w:r>
      <w:r>
        <w:rPr>
          <w:rFonts w:hint="eastAsia" w:ascii="仿宋_GB2312" w:hAnsi="仿宋_GB2312" w:eastAsia="仿宋_GB2312" w:cs="仿宋_GB2312"/>
          <w:b w:val="0"/>
          <w:bCs w:val="0"/>
          <w:color w:val="auto"/>
          <w:spacing w:val="11"/>
          <w:sz w:val="32"/>
          <w:szCs w:val="32"/>
          <w:highlight w:val="none"/>
          <w:lang w:val="en-US" w:eastAsia="zh-CN"/>
        </w:rPr>
        <w:t>与哈工大、农大等科研机构及高等学府合作，</w:t>
      </w:r>
      <w:r>
        <w:rPr>
          <w:rFonts w:hint="eastAsia" w:ascii="仿宋_GB2312" w:hAnsi="仿宋_GB2312" w:eastAsia="仿宋_GB2312" w:cs="仿宋_GB2312"/>
          <w:spacing w:val="7"/>
          <w:sz w:val="32"/>
          <w:szCs w:val="32"/>
          <w:highlight w:val="none"/>
          <w:lang w:val="en-US" w:eastAsia="zh-CN"/>
        </w:rPr>
        <w:t>吸引高层次人才来区工作。完善人才激励机制，指导企业建立与科技创新成果相匹配的薪酬体系，激发科研人员创新活力，优化职称评定制度，注重科技创新成果，完善人才评价和激励机制，为人才提供良好的发展空间和待遇保障。</w:t>
      </w:r>
    </w:p>
    <w:p w14:paraId="312F9AE2">
      <w:pPr>
        <w:spacing w:before="37" w:line="226" w:lineRule="auto"/>
        <w:jc w:val="center"/>
        <w:rPr>
          <w:rFonts w:ascii="Arial"/>
          <w:sz w:val="2"/>
          <w:highlight w:val="none"/>
        </w:rPr>
      </w:pPr>
      <w:r>
        <w:rPr>
          <w:rFonts w:hint="eastAsia" w:ascii="方正小标宋简体" w:hAnsi="方正小标宋简体" w:eastAsia="方正小标宋简体" w:cs="方正小标宋简体"/>
          <w:b w:val="0"/>
          <w:bCs w:val="0"/>
          <w:spacing w:val="5"/>
          <w:sz w:val="30"/>
          <w:szCs w:val="30"/>
          <w:highlight w:val="none"/>
          <w:lang w:val="en-US" w:eastAsia="zh-CN"/>
        </w:rPr>
        <w:t xml:space="preserve">表5 </w:t>
      </w:r>
      <w:r>
        <w:rPr>
          <w:rFonts w:hint="eastAsia" w:ascii="方正小标宋简体" w:hAnsi="方正小标宋简体" w:eastAsia="方正小标宋简体" w:cs="方正小标宋简体"/>
          <w:b w:val="0"/>
          <w:bCs w:val="0"/>
          <w:spacing w:val="5"/>
          <w:sz w:val="30"/>
          <w:szCs w:val="30"/>
          <w:highlight w:val="none"/>
        </w:rPr>
        <w:t xml:space="preserve"> 科技创新工程</w:t>
      </w:r>
    </w:p>
    <w:tbl>
      <w:tblPr>
        <w:tblStyle w:val="13"/>
        <w:tblW w:w="844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7"/>
        <w:gridCol w:w="7385"/>
      </w:tblGrid>
      <w:tr w14:paraId="172CD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057" w:type="dxa"/>
            <w:tcBorders>
              <w:top w:val="single" w:color="000000" w:sz="10" w:space="0"/>
              <w:left w:val="nil"/>
              <w:bottom w:val="single" w:color="000000" w:sz="10" w:space="0"/>
            </w:tcBorders>
            <w:vAlign w:val="top"/>
          </w:tcPr>
          <w:p w14:paraId="73014D6C">
            <w:pPr>
              <w:pStyle w:val="14"/>
              <w:spacing w:before="148" w:line="226" w:lineRule="auto"/>
              <w:ind w:left="303"/>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类别</w:t>
            </w:r>
          </w:p>
        </w:tc>
        <w:tc>
          <w:tcPr>
            <w:tcW w:w="7385" w:type="dxa"/>
            <w:tcBorders>
              <w:top w:val="single" w:color="000000" w:sz="10" w:space="0"/>
              <w:bottom w:val="single" w:color="000000" w:sz="10" w:space="0"/>
              <w:right w:val="nil"/>
            </w:tcBorders>
            <w:vAlign w:val="top"/>
          </w:tcPr>
          <w:p w14:paraId="57734A7F">
            <w:pPr>
              <w:pStyle w:val="14"/>
              <w:spacing w:before="121" w:line="229" w:lineRule="auto"/>
              <w:jc w:val="cente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pacing w:val="2"/>
                <w:sz w:val="24"/>
                <w:szCs w:val="24"/>
                <w:highlight w:val="none"/>
              </w:rPr>
              <w:t>重点任务</w:t>
            </w:r>
            <w:r>
              <w:rPr>
                <w:rFonts w:hint="eastAsia" w:ascii="黑体" w:hAnsi="黑体" w:eastAsia="黑体" w:cs="黑体"/>
                <w:b w:val="0"/>
                <w:bCs w:val="0"/>
                <w:spacing w:val="2"/>
                <w:sz w:val="24"/>
                <w:szCs w:val="24"/>
                <w:highlight w:val="none"/>
                <w:lang w:val="en-US" w:eastAsia="zh-CN"/>
              </w:rPr>
              <w:t>及发展方向</w:t>
            </w:r>
          </w:p>
        </w:tc>
      </w:tr>
      <w:tr w14:paraId="14CF1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1057" w:type="dxa"/>
            <w:tcBorders>
              <w:top w:val="single" w:color="000000" w:sz="10" w:space="0"/>
              <w:left w:val="nil"/>
            </w:tcBorders>
            <w:vAlign w:val="top"/>
          </w:tcPr>
          <w:p w14:paraId="7598B1AB">
            <w:pPr>
              <w:pStyle w:val="14"/>
              <w:spacing w:before="311" w:line="318" w:lineRule="auto"/>
              <w:ind w:right="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科技创新体系</w:t>
            </w:r>
          </w:p>
        </w:tc>
        <w:tc>
          <w:tcPr>
            <w:tcW w:w="7385" w:type="dxa"/>
            <w:tcBorders>
              <w:top w:val="single" w:color="000000" w:sz="10" w:space="0"/>
              <w:right w:val="nil"/>
            </w:tcBorders>
            <w:vAlign w:val="top"/>
          </w:tcPr>
          <w:p w14:paraId="75D0525B">
            <w:pPr>
              <w:pStyle w:val="14"/>
              <w:spacing w:before="311" w:line="318" w:lineRule="auto"/>
              <w:ind w:right="1"/>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鼓励重点国有及地方企业增加研发投入，提高企业科技创新投入强度。加强科技创新平台建设，提高科技创新资源配置效率，推动科技成果转化</w:t>
            </w:r>
          </w:p>
        </w:tc>
      </w:tr>
      <w:tr w14:paraId="644B7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057" w:type="dxa"/>
            <w:tcBorders>
              <w:left w:val="nil"/>
            </w:tcBorders>
            <w:vAlign w:val="top"/>
          </w:tcPr>
          <w:p w14:paraId="7222211F">
            <w:pPr>
              <w:pStyle w:val="14"/>
              <w:spacing w:before="311" w:line="318" w:lineRule="auto"/>
              <w:ind w:right="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科技创新能力</w:t>
            </w:r>
          </w:p>
        </w:tc>
        <w:tc>
          <w:tcPr>
            <w:tcW w:w="7385" w:type="dxa"/>
            <w:tcBorders>
              <w:right w:val="nil"/>
            </w:tcBorders>
            <w:vAlign w:val="top"/>
          </w:tcPr>
          <w:p w14:paraId="36BE6707">
            <w:pPr>
              <w:pStyle w:val="14"/>
              <w:spacing w:before="311" w:line="318" w:lineRule="auto"/>
              <w:ind w:right="1"/>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以双兴技术、方直科技为科技创新主体，培育一批有潜力的创新型储备企业，破解科技创新载体薄弱的不利局面</w:t>
            </w:r>
          </w:p>
        </w:tc>
      </w:tr>
      <w:tr w14:paraId="0DB56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057" w:type="dxa"/>
            <w:tcBorders>
              <w:left w:val="nil"/>
            </w:tcBorders>
            <w:vAlign w:val="top"/>
          </w:tcPr>
          <w:p w14:paraId="3C681EC3">
            <w:pPr>
              <w:pStyle w:val="14"/>
              <w:spacing w:before="311" w:line="318" w:lineRule="auto"/>
              <w:ind w:right="1"/>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人才培养体系</w:t>
            </w:r>
          </w:p>
        </w:tc>
        <w:tc>
          <w:tcPr>
            <w:tcW w:w="7385" w:type="dxa"/>
            <w:tcBorders>
              <w:right w:val="nil"/>
            </w:tcBorders>
            <w:vAlign w:val="top"/>
          </w:tcPr>
          <w:p w14:paraId="6FD379F3">
            <w:pPr>
              <w:pStyle w:val="14"/>
              <w:spacing w:before="311" w:line="318" w:lineRule="auto"/>
              <w:ind w:right="1"/>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与哈工大、农大等科研机构及高等学府合作，完善人才评价和激励机制，为人才提供良好的发展空间和待遇保障</w:t>
            </w:r>
          </w:p>
        </w:tc>
      </w:tr>
    </w:tbl>
    <w:p w14:paraId="618DC887">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5899ADE9">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51" w:name="bookmark76"/>
      <w:bookmarkEnd w:id="51"/>
      <w:bookmarkStart w:id="52" w:name="_Toc9858"/>
      <w:bookmarkStart w:id="53" w:name="_Toc24056"/>
      <w:bookmarkStart w:id="54" w:name="_Toc25501"/>
      <w:bookmarkStart w:id="55" w:name="_Toc20200"/>
      <w:r>
        <w:rPr>
          <w:rFonts w:hint="eastAsia" w:ascii="方正小标宋简体" w:hAnsi="方正小标宋简体" w:eastAsia="方正小标宋简体" w:cs="方正小标宋简体"/>
          <w:b w:val="0"/>
          <w:bCs/>
          <w:sz w:val="36"/>
          <w:szCs w:val="36"/>
          <w:highlight w:val="none"/>
          <w:lang w:val="en-US" w:eastAsia="zh-CN"/>
        </w:rPr>
        <w:t xml:space="preserve">第四章  </w:t>
      </w:r>
      <w:bookmarkEnd w:id="52"/>
      <w:bookmarkEnd w:id="53"/>
      <w:bookmarkEnd w:id="54"/>
      <w:r>
        <w:rPr>
          <w:rFonts w:hint="eastAsia" w:ascii="方正小标宋简体" w:hAnsi="方正小标宋简体" w:eastAsia="方正小标宋简体" w:cs="方正小标宋简体"/>
          <w:b w:val="0"/>
          <w:bCs/>
          <w:sz w:val="36"/>
          <w:szCs w:val="36"/>
          <w:highlight w:val="none"/>
          <w:lang w:val="en-US" w:eastAsia="zh-CN"/>
        </w:rPr>
        <w:t>强化农业强区建设 赋能高质量发展提速</w:t>
      </w:r>
      <w:bookmarkEnd w:id="55"/>
    </w:p>
    <w:p w14:paraId="3483B74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坚持农业农村优先发展，以提升更高水平粮食产出能力为引领，坚决守牢确保粮食安全，加强耕地保护等底线，扎实推进乡村产业发展，建设宜居宜业和美乡村，全面推进乡村振兴，不断推进一产与三产融合，建设供给保障强、科技装备强、经营体系强、产业韧性强、竞争能力强的农业强区。</w:t>
      </w:r>
    </w:p>
    <w:p w14:paraId="66F0DACA">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56" w:name="_Toc14860"/>
      <w:r>
        <w:rPr>
          <w:rFonts w:hint="eastAsia"/>
          <w:b w:val="0"/>
          <w:bCs/>
          <w:highlight w:val="none"/>
          <w:lang w:val="en-US" w:eastAsia="zh-CN"/>
        </w:rPr>
        <w:t>第一节 全方位夯实粮食安全根基</w:t>
      </w:r>
      <w:bookmarkEnd w:id="56"/>
    </w:p>
    <w:p w14:paraId="73E2E16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从地、技、利、义全环节入手，从产、加、储、销全过程着眼，从资源、市场、政策、主体全领域统筹，牢牢守</w:t>
      </w:r>
      <w:r>
        <w:rPr>
          <w:rFonts w:hint="eastAsia" w:ascii="Times New Roman" w:hAnsi="Times New Roman" w:eastAsia="仿宋_GB2312" w:cs="Times New Roman"/>
          <w:spacing w:val="7"/>
          <w:sz w:val="32"/>
          <w:szCs w:val="32"/>
          <w:highlight w:val="none"/>
          <w:lang w:val="en-US" w:eastAsia="zh-CN"/>
        </w:rPr>
        <w:t>住45万亩耕地保护红线。将提高农业综合生产能力放在更加突出的位置，抓物质基础，强化藏粮于地、藏粮于技，抓机制保障，做到产能提升、结构</w:t>
      </w:r>
      <w:r>
        <w:rPr>
          <w:rFonts w:hint="eastAsia" w:ascii="仿宋_GB2312" w:hAnsi="仿宋_GB2312" w:eastAsia="仿宋_GB2312" w:cs="仿宋_GB2312"/>
          <w:spacing w:val="7"/>
          <w:sz w:val="32"/>
          <w:szCs w:val="32"/>
          <w:highlight w:val="none"/>
          <w:lang w:val="en-US" w:eastAsia="zh-CN"/>
        </w:rPr>
        <w:t>优化、韧性增强、收益保障、责任压实。稳定粮食作物面积，着力提升大豆、玉米单产规模。围绕数量、质量、生态“三位一体”目标，采用综合措施保护黑土地。完善排灌设施，提升防灾能力，加强粮食收储及粮食仓储</w:t>
      </w:r>
      <w:r>
        <w:rPr>
          <w:rFonts w:hint="eastAsia" w:ascii="Times New Roman" w:hAnsi="Times New Roman" w:eastAsia="仿宋_GB2312" w:cs="Times New Roman"/>
          <w:spacing w:val="7"/>
          <w:sz w:val="32"/>
          <w:szCs w:val="32"/>
          <w:highlight w:val="none"/>
          <w:lang w:val="en-US" w:eastAsia="zh-CN"/>
        </w:rPr>
        <w:t>能力。到2030年，综合机械化率超98%，粮食综合生产能力稳定在21万吨以上，基本实现农业现代化。</w:t>
      </w:r>
    </w:p>
    <w:p w14:paraId="0CE91051">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表6  粮食安全根基保障工程</w:t>
      </w:r>
    </w:p>
    <w:p w14:paraId="1A143BE4">
      <w:pPr>
        <w:spacing w:line="43" w:lineRule="auto"/>
        <w:rPr>
          <w:rFonts w:ascii="Arial"/>
          <w:sz w:val="2"/>
          <w:highlight w:val="none"/>
        </w:rPr>
      </w:pPr>
    </w:p>
    <w:tbl>
      <w:tblPr>
        <w:tblStyle w:val="13"/>
        <w:tblW w:w="83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3"/>
        <w:gridCol w:w="2505"/>
        <w:gridCol w:w="4549"/>
      </w:tblGrid>
      <w:tr w14:paraId="4BF73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1283" w:type="dxa"/>
            <w:tcBorders>
              <w:top w:val="single" w:color="000000" w:sz="10" w:space="0"/>
              <w:left w:val="nil"/>
              <w:bottom w:val="single" w:color="000000" w:sz="10" w:space="0"/>
            </w:tcBorders>
            <w:vAlign w:val="top"/>
          </w:tcPr>
          <w:p w14:paraId="63C0B482">
            <w:pPr>
              <w:spacing w:before="122" w:line="229" w:lineRule="auto"/>
              <w:ind w:left="282"/>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类别</w:t>
            </w:r>
          </w:p>
        </w:tc>
        <w:tc>
          <w:tcPr>
            <w:tcW w:w="2505" w:type="dxa"/>
            <w:tcBorders>
              <w:top w:val="single" w:color="000000" w:sz="10" w:space="0"/>
              <w:bottom w:val="single" w:color="000000" w:sz="10" w:space="0"/>
            </w:tcBorders>
            <w:vAlign w:val="top"/>
          </w:tcPr>
          <w:p w14:paraId="156AB3BB">
            <w:pPr>
              <w:spacing w:before="122" w:line="229" w:lineRule="auto"/>
              <w:ind w:left="667"/>
              <w:rPr>
                <w:rFonts w:hint="eastAsia" w:ascii="黑体" w:hAnsi="黑体" w:eastAsia="黑体" w:cs="黑体"/>
                <w:b w:val="0"/>
                <w:bCs w:val="0"/>
                <w:sz w:val="24"/>
                <w:szCs w:val="24"/>
                <w:highlight w:val="none"/>
              </w:rPr>
            </w:pPr>
            <w:r>
              <w:rPr>
                <w:rFonts w:hint="eastAsia" w:ascii="黑体" w:hAnsi="黑体" w:eastAsia="黑体" w:cs="黑体"/>
                <w:b w:val="0"/>
                <w:bCs w:val="0"/>
                <w:spacing w:val="2"/>
                <w:sz w:val="24"/>
                <w:szCs w:val="24"/>
                <w:highlight w:val="none"/>
              </w:rPr>
              <w:t>发展目标</w:t>
            </w:r>
          </w:p>
        </w:tc>
        <w:tc>
          <w:tcPr>
            <w:tcW w:w="4549" w:type="dxa"/>
            <w:tcBorders>
              <w:top w:val="single" w:color="000000" w:sz="10" w:space="0"/>
              <w:bottom w:val="single" w:color="000000" w:sz="10" w:space="0"/>
              <w:right w:val="nil"/>
            </w:tcBorders>
            <w:vAlign w:val="top"/>
          </w:tcPr>
          <w:p w14:paraId="2BBBCFA2">
            <w:pPr>
              <w:spacing w:before="122" w:line="229" w:lineRule="auto"/>
              <w:ind w:left="2067"/>
              <w:rPr>
                <w:rFonts w:hint="eastAsia" w:ascii="黑体" w:hAnsi="黑体" w:eastAsia="黑体" w:cs="黑体"/>
                <w:b w:val="0"/>
                <w:bCs w:val="0"/>
                <w:sz w:val="24"/>
                <w:szCs w:val="24"/>
                <w:highlight w:val="none"/>
                <w:lang w:eastAsia="zh-CN"/>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任务</w:t>
            </w:r>
          </w:p>
        </w:tc>
      </w:tr>
      <w:tr w14:paraId="6613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jc w:val="center"/>
        </w:trPr>
        <w:tc>
          <w:tcPr>
            <w:tcW w:w="1283" w:type="dxa"/>
            <w:tcBorders>
              <w:top w:val="single" w:color="000000" w:sz="10" w:space="0"/>
              <w:left w:val="nil"/>
            </w:tcBorders>
            <w:vAlign w:val="top"/>
          </w:tcPr>
          <w:p w14:paraId="1860B5C7">
            <w:pPr>
              <w:spacing w:line="257" w:lineRule="auto"/>
              <w:rPr>
                <w:rFonts w:hint="eastAsia" w:ascii="仿宋_GB2312" w:hAnsi="仿宋_GB2312" w:eastAsia="仿宋_GB2312" w:cs="仿宋_GB2312"/>
                <w:sz w:val="24"/>
                <w:szCs w:val="24"/>
                <w:highlight w:val="none"/>
              </w:rPr>
            </w:pPr>
          </w:p>
          <w:p w14:paraId="6C149D0D">
            <w:pPr>
              <w:spacing w:line="257" w:lineRule="auto"/>
              <w:rPr>
                <w:rFonts w:hint="eastAsia" w:ascii="仿宋_GB2312" w:hAnsi="仿宋_GB2312" w:eastAsia="仿宋_GB2312" w:cs="仿宋_GB2312"/>
                <w:sz w:val="24"/>
                <w:szCs w:val="24"/>
                <w:highlight w:val="none"/>
              </w:rPr>
            </w:pPr>
          </w:p>
          <w:p w14:paraId="3C368B9D">
            <w:pPr>
              <w:pStyle w:val="14"/>
              <w:spacing w:before="74" w:line="319" w:lineRule="auto"/>
              <w:ind w:right="28"/>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农业节水供水工程</w:t>
            </w:r>
          </w:p>
        </w:tc>
        <w:tc>
          <w:tcPr>
            <w:tcW w:w="2505" w:type="dxa"/>
            <w:tcBorders>
              <w:top w:val="single" w:color="000000" w:sz="10" w:space="0"/>
            </w:tcBorders>
            <w:vAlign w:val="center"/>
          </w:tcPr>
          <w:p w14:paraId="3E65AD9D">
            <w:pPr>
              <w:pStyle w:val="14"/>
              <w:spacing w:before="74" w:line="319" w:lineRule="auto"/>
              <w:ind w:left="42" w:right="2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到2030年，综合机械化率超98%。到2030年，粮食综合生产能力稳定在21万吨以上，基本实现农业现代化</w:t>
            </w:r>
          </w:p>
        </w:tc>
        <w:tc>
          <w:tcPr>
            <w:tcW w:w="4549" w:type="dxa"/>
            <w:tcBorders>
              <w:top w:val="single" w:color="000000" w:sz="10" w:space="0"/>
              <w:right w:val="nil"/>
            </w:tcBorders>
            <w:vAlign w:val="center"/>
          </w:tcPr>
          <w:p w14:paraId="1A2B2491">
            <w:pPr>
              <w:pStyle w:val="14"/>
              <w:spacing w:before="74" w:line="319" w:lineRule="auto"/>
              <w:ind w:left="42" w:right="2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严守45万亩耕地保护红线，提升大豆、玉米单产规模，全域粮食播种面积稳定在45万亩以上。</w:t>
            </w:r>
          </w:p>
        </w:tc>
      </w:tr>
      <w:tr w14:paraId="163B7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9" w:hRule="atLeast"/>
          <w:jc w:val="center"/>
        </w:trPr>
        <w:tc>
          <w:tcPr>
            <w:tcW w:w="1283" w:type="dxa"/>
            <w:tcBorders>
              <w:top w:val="single" w:color="000000" w:sz="10" w:space="0"/>
              <w:left w:val="nil"/>
            </w:tcBorders>
            <w:vAlign w:val="top"/>
          </w:tcPr>
          <w:p w14:paraId="147A7E58">
            <w:pPr>
              <w:pStyle w:val="14"/>
              <w:spacing w:before="74" w:line="319" w:lineRule="auto"/>
              <w:ind w:right="28"/>
              <w:rPr>
                <w:rFonts w:hint="eastAsia" w:ascii="仿宋_GB2312" w:hAnsi="仿宋_GB2312" w:eastAsia="仿宋_GB2312" w:cs="仿宋_GB2312"/>
                <w:spacing w:val="5"/>
                <w:sz w:val="24"/>
                <w:szCs w:val="24"/>
                <w:highlight w:val="none"/>
              </w:rPr>
            </w:pPr>
          </w:p>
          <w:p w14:paraId="1FAEE504">
            <w:pPr>
              <w:pStyle w:val="14"/>
              <w:spacing w:before="74" w:line="319" w:lineRule="auto"/>
              <w:ind w:right="28"/>
              <w:rPr>
                <w:rFonts w:hint="eastAsia" w:ascii="仿宋_GB2312" w:hAnsi="仿宋_GB2312" w:eastAsia="仿宋_GB2312" w:cs="仿宋_GB2312"/>
                <w:spacing w:val="5"/>
                <w:sz w:val="24"/>
                <w:szCs w:val="24"/>
                <w:highlight w:val="none"/>
              </w:rPr>
            </w:pPr>
          </w:p>
          <w:p w14:paraId="31BAAB19">
            <w:pPr>
              <w:pStyle w:val="14"/>
              <w:spacing w:before="74" w:line="319" w:lineRule="auto"/>
              <w:ind w:right="28" w:rightChars="0"/>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lang w:val="en-US" w:eastAsia="zh-CN"/>
              </w:rPr>
              <w:t>农田</w:t>
            </w:r>
            <w:r>
              <w:rPr>
                <w:rFonts w:hint="eastAsia" w:ascii="仿宋_GB2312" w:hAnsi="仿宋_GB2312" w:eastAsia="仿宋_GB2312" w:cs="仿宋_GB2312"/>
                <w:spacing w:val="5"/>
                <w:sz w:val="24"/>
                <w:szCs w:val="24"/>
                <w:highlight w:val="none"/>
              </w:rPr>
              <w:t>基础设施</w:t>
            </w:r>
          </w:p>
        </w:tc>
        <w:tc>
          <w:tcPr>
            <w:tcW w:w="2505" w:type="dxa"/>
            <w:tcBorders>
              <w:top w:val="single" w:color="000000" w:sz="10" w:space="0"/>
            </w:tcBorders>
            <w:vAlign w:val="center"/>
          </w:tcPr>
          <w:p w14:paraId="2FE64DF9">
            <w:pPr>
              <w:pStyle w:val="14"/>
              <w:spacing w:before="74" w:line="319" w:lineRule="auto"/>
              <w:ind w:left="42" w:leftChars="0" w:right="28" w:rightChars="0"/>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增加应急处突能力。</w:t>
            </w:r>
            <w:r>
              <w:rPr>
                <w:rFonts w:hint="eastAsia" w:ascii="仿宋_GB2312" w:hAnsi="仿宋_GB2312" w:eastAsia="仿宋_GB2312" w:cs="仿宋_GB2312"/>
                <w:spacing w:val="5"/>
                <w:sz w:val="24"/>
                <w:szCs w:val="24"/>
                <w:highlight w:val="none"/>
                <w:lang w:eastAsia="zh-CN"/>
              </w:rPr>
              <w:t>产业基础设施薄弱，增加农业设施。</w:t>
            </w:r>
          </w:p>
        </w:tc>
        <w:tc>
          <w:tcPr>
            <w:tcW w:w="4549" w:type="dxa"/>
            <w:tcBorders>
              <w:top w:val="single" w:color="000000" w:sz="10" w:space="0"/>
              <w:right w:val="nil"/>
            </w:tcBorders>
            <w:vAlign w:val="center"/>
          </w:tcPr>
          <w:p w14:paraId="13CA6022">
            <w:pPr>
              <w:pStyle w:val="14"/>
              <w:spacing w:before="74" w:line="319" w:lineRule="auto"/>
              <w:ind w:left="42" w:leftChars="0" w:right="28" w:rightChars="0"/>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双鸭山农场有限公司设备采购及养殖场项目、双鸭山农场动植物保护能力提升项目、</w:t>
            </w:r>
            <w:r>
              <w:rPr>
                <w:rFonts w:hint="eastAsia" w:ascii="仿宋_GB2312" w:hAnsi="仿宋_GB2312" w:eastAsia="仿宋_GB2312" w:cs="仿宋_GB2312"/>
                <w:spacing w:val="5"/>
                <w:sz w:val="24"/>
                <w:szCs w:val="24"/>
                <w:highlight w:val="none"/>
                <w:lang w:eastAsia="zh-CN"/>
              </w:rPr>
              <w:t>双鸭山农场水田格田改造项</w:t>
            </w:r>
            <w:r>
              <w:rPr>
                <w:rFonts w:hint="eastAsia" w:ascii="仿宋_GB2312" w:hAnsi="仿宋_GB2312" w:eastAsia="仿宋_GB2312" w:cs="仿宋_GB2312"/>
                <w:spacing w:val="5"/>
                <w:sz w:val="24"/>
                <w:szCs w:val="24"/>
                <w:highlight w:val="none"/>
                <w:lang w:val="en-US" w:eastAsia="zh-CN"/>
              </w:rPr>
              <w:t>目</w:t>
            </w:r>
          </w:p>
        </w:tc>
      </w:tr>
      <w:tr w14:paraId="72C48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jc w:val="center"/>
        </w:trPr>
        <w:tc>
          <w:tcPr>
            <w:tcW w:w="1283" w:type="dxa"/>
            <w:tcBorders>
              <w:left w:val="nil"/>
            </w:tcBorders>
            <w:vAlign w:val="top"/>
          </w:tcPr>
          <w:p w14:paraId="5A517DFE">
            <w:pPr>
              <w:spacing w:line="452" w:lineRule="auto"/>
              <w:rPr>
                <w:rFonts w:hint="eastAsia" w:ascii="仿宋_GB2312" w:hAnsi="仿宋_GB2312" w:eastAsia="仿宋_GB2312" w:cs="仿宋_GB2312"/>
                <w:sz w:val="24"/>
                <w:szCs w:val="24"/>
                <w:highlight w:val="none"/>
              </w:rPr>
            </w:pPr>
          </w:p>
          <w:p w14:paraId="16293EEA">
            <w:pPr>
              <w:pStyle w:val="14"/>
              <w:spacing w:before="74" w:line="322" w:lineRule="auto"/>
              <w:ind w:left="42" w:right="28"/>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粮食单产提升工程</w:t>
            </w:r>
          </w:p>
        </w:tc>
        <w:tc>
          <w:tcPr>
            <w:tcW w:w="2505" w:type="dxa"/>
            <w:vAlign w:val="top"/>
          </w:tcPr>
          <w:p w14:paraId="60A664B2">
            <w:pPr>
              <w:pStyle w:val="14"/>
              <w:spacing w:before="74" w:line="322" w:lineRule="auto"/>
              <w:ind w:left="42" w:right="28"/>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加强“垦地合作”，巩固提升粮食产能，加快种植业提档升级，全力提升综合生产能力</w:t>
            </w:r>
          </w:p>
        </w:tc>
        <w:tc>
          <w:tcPr>
            <w:tcW w:w="4549" w:type="dxa"/>
            <w:tcBorders>
              <w:right w:val="nil"/>
            </w:tcBorders>
            <w:vAlign w:val="top"/>
          </w:tcPr>
          <w:p w14:paraId="2B1FD093">
            <w:pPr>
              <w:pStyle w:val="14"/>
              <w:spacing w:before="74" w:line="322" w:lineRule="auto"/>
              <w:ind w:left="42" w:right="28"/>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5"/>
                <w:sz w:val="24"/>
                <w:szCs w:val="24"/>
                <w:highlight w:val="none"/>
              </w:rPr>
              <w:t>保障农业生产安全</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全面加强田间管理</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开展实地技术指导</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提高先进技术覆盖面和到位率</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加</w:t>
            </w:r>
            <w:r>
              <w:rPr>
                <w:rFonts w:hint="eastAsia" w:ascii="仿宋_GB2312" w:hAnsi="仿宋_GB2312" w:eastAsia="仿宋_GB2312" w:cs="仿宋_GB2312"/>
                <w:spacing w:val="5"/>
                <w:sz w:val="24"/>
                <w:szCs w:val="24"/>
                <w:highlight w:val="none"/>
                <w:lang w:val="en-US" w:eastAsia="zh-CN"/>
              </w:rPr>
              <w:t>强</w:t>
            </w:r>
            <w:r>
              <w:rPr>
                <w:rFonts w:hint="eastAsia" w:ascii="仿宋_GB2312" w:hAnsi="仿宋_GB2312" w:eastAsia="仿宋_GB2312" w:cs="仿宋_GB2312"/>
                <w:spacing w:val="5"/>
                <w:sz w:val="24"/>
                <w:szCs w:val="24"/>
                <w:highlight w:val="none"/>
              </w:rPr>
              <w:t>农机具</w:t>
            </w:r>
            <w:r>
              <w:rPr>
                <w:rFonts w:hint="eastAsia" w:ascii="仿宋_GB2312" w:hAnsi="仿宋_GB2312" w:eastAsia="仿宋_GB2312" w:cs="仿宋_GB2312"/>
                <w:spacing w:val="5"/>
                <w:sz w:val="24"/>
                <w:szCs w:val="24"/>
                <w:highlight w:val="none"/>
                <w:lang w:val="en-US" w:eastAsia="zh-CN"/>
              </w:rPr>
              <w:t>标准化管理，</w:t>
            </w:r>
            <w:r>
              <w:rPr>
                <w:rFonts w:hint="eastAsia" w:ascii="仿宋_GB2312" w:hAnsi="仿宋_GB2312" w:eastAsia="仿宋_GB2312" w:cs="仿宋_GB2312"/>
                <w:spacing w:val="5"/>
                <w:sz w:val="24"/>
                <w:szCs w:val="24"/>
                <w:highlight w:val="none"/>
              </w:rPr>
              <w:t>保障粮食及时收获、颗粒归仓</w:t>
            </w:r>
          </w:p>
        </w:tc>
      </w:tr>
      <w:tr w14:paraId="3CEDB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5" w:hRule="atLeast"/>
          <w:jc w:val="center"/>
        </w:trPr>
        <w:tc>
          <w:tcPr>
            <w:tcW w:w="1283" w:type="dxa"/>
            <w:tcBorders>
              <w:left w:val="nil"/>
              <w:bottom w:val="single" w:color="000000" w:sz="10" w:space="0"/>
            </w:tcBorders>
            <w:vAlign w:val="top"/>
          </w:tcPr>
          <w:p w14:paraId="720FDC62">
            <w:pPr>
              <w:pStyle w:val="14"/>
              <w:spacing w:before="74" w:line="322" w:lineRule="auto"/>
              <w:ind w:right="28"/>
              <w:jc w:val="both"/>
              <w:rPr>
                <w:rFonts w:hint="eastAsia" w:ascii="仿宋_GB2312" w:hAnsi="仿宋_GB2312" w:eastAsia="仿宋_GB2312" w:cs="仿宋_GB2312"/>
                <w:spacing w:val="5"/>
                <w:sz w:val="24"/>
                <w:szCs w:val="24"/>
                <w:highlight w:val="none"/>
              </w:rPr>
            </w:pPr>
          </w:p>
          <w:p w14:paraId="58830D12">
            <w:pPr>
              <w:pStyle w:val="14"/>
              <w:spacing w:before="74" w:line="322" w:lineRule="auto"/>
              <w:ind w:right="28"/>
              <w:jc w:val="both"/>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rPr>
              <w:t>农业基础设施建设工程</w:t>
            </w:r>
          </w:p>
        </w:tc>
        <w:tc>
          <w:tcPr>
            <w:tcW w:w="2505" w:type="dxa"/>
            <w:tcBorders>
              <w:bottom w:val="single" w:color="000000" w:sz="10" w:space="0"/>
            </w:tcBorders>
            <w:vAlign w:val="top"/>
          </w:tcPr>
          <w:p w14:paraId="3D83F123">
            <w:pPr>
              <w:pStyle w:val="14"/>
              <w:spacing w:before="74" w:line="322" w:lineRule="auto"/>
              <w:ind w:left="42" w:right="28"/>
              <w:jc w:val="left"/>
              <w:rPr>
                <w:rFonts w:hint="eastAsia" w:ascii="仿宋_GB2312" w:hAnsi="仿宋_GB2312" w:eastAsia="仿宋_GB2312" w:cs="仿宋_GB2312"/>
                <w:spacing w:val="5"/>
                <w:sz w:val="24"/>
                <w:szCs w:val="24"/>
                <w:highlight w:val="none"/>
                <w:lang w:val="en-US" w:eastAsia="zh-CN"/>
              </w:rPr>
            </w:pPr>
          </w:p>
          <w:p w14:paraId="3F4FFD15">
            <w:pPr>
              <w:pStyle w:val="14"/>
              <w:spacing w:before="74" w:line="322" w:lineRule="auto"/>
              <w:ind w:left="42" w:right="2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农业基础设施进一步完善</w:t>
            </w:r>
          </w:p>
        </w:tc>
        <w:tc>
          <w:tcPr>
            <w:tcW w:w="4549" w:type="dxa"/>
            <w:tcBorders>
              <w:bottom w:val="single" w:color="000000" w:sz="10" w:space="0"/>
              <w:right w:val="nil"/>
            </w:tcBorders>
            <w:vAlign w:val="top"/>
          </w:tcPr>
          <w:p w14:paraId="6F12543B">
            <w:pPr>
              <w:pStyle w:val="14"/>
              <w:spacing w:before="74" w:line="322" w:lineRule="auto"/>
              <w:ind w:left="42" w:right="28"/>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紧抓</w:t>
            </w:r>
            <w:r>
              <w:rPr>
                <w:rFonts w:hint="eastAsia" w:ascii="仿宋_GB2312" w:hAnsi="仿宋_GB2312" w:eastAsia="仿宋_GB2312" w:cs="仿宋_GB2312"/>
                <w:spacing w:val="5"/>
                <w:sz w:val="24"/>
                <w:szCs w:val="24"/>
                <w:highlight w:val="none"/>
              </w:rPr>
              <w:t>中央财政衔接资金</w:t>
            </w:r>
            <w:r>
              <w:rPr>
                <w:rFonts w:hint="eastAsia" w:ascii="仿宋_GB2312" w:hAnsi="仿宋_GB2312" w:eastAsia="仿宋_GB2312" w:cs="仿宋_GB2312"/>
                <w:spacing w:val="5"/>
                <w:sz w:val="24"/>
                <w:szCs w:val="24"/>
                <w:highlight w:val="none"/>
                <w:lang w:val="en-US" w:eastAsia="zh-CN"/>
              </w:rPr>
              <w:t>争取</w:t>
            </w:r>
            <w:r>
              <w:rPr>
                <w:rFonts w:hint="eastAsia" w:ascii="仿宋_GB2312" w:hAnsi="仿宋_GB2312" w:eastAsia="仿宋_GB2312" w:cs="仿宋_GB2312"/>
                <w:spacing w:val="5"/>
                <w:sz w:val="24"/>
                <w:szCs w:val="24"/>
                <w:highlight w:val="none"/>
              </w:rPr>
              <w:t>、</w:t>
            </w:r>
            <w:r>
              <w:rPr>
                <w:rFonts w:hint="eastAsia" w:ascii="仿宋_GB2312" w:hAnsi="仿宋_GB2312" w:eastAsia="仿宋_GB2312" w:cs="仿宋_GB2312"/>
                <w:spacing w:val="5"/>
                <w:sz w:val="24"/>
                <w:szCs w:val="24"/>
                <w:highlight w:val="none"/>
                <w:lang w:val="en-US" w:eastAsia="zh-CN"/>
              </w:rPr>
              <w:t>提高</w:t>
            </w:r>
            <w:r>
              <w:rPr>
                <w:rFonts w:hint="eastAsia" w:ascii="仿宋_GB2312" w:hAnsi="仿宋_GB2312" w:eastAsia="仿宋_GB2312" w:cs="仿宋_GB2312"/>
                <w:spacing w:val="5"/>
                <w:sz w:val="24"/>
                <w:szCs w:val="24"/>
                <w:highlight w:val="none"/>
              </w:rPr>
              <w:t>地方财政资金</w:t>
            </w:r>
            <w:r>
              <w:rPr>
                <w:rFonts w:hint="eastAsia" w:ascii="仿宋_GB2312" w:hAnsi="仿宋_GB2312" w:eastAsia="仿宋_GB2312" w:cs="仿宋_GB2312"/>
                <w:spacing w:val="5"/>
                <w:sz w:val="24"/>
                <w:szCs w:val="24"/>
                <w:highlight w:val="none"/>
                <w:lang w:val="en-US" w:eastAsia="zh-CN"/>
              </w:rPr>
              <w:t>使用支出比重，实施农村</w:t>
            </w:r>
            <w:r>
              <w:rPr>
                <w:rFonts w:hint="eastAsia" w:ascii="仿宋_GB2312" w:hAnsi="仿宋_GB2312" w:eastAsia="仿宋_GB2312" w:cs="仿宋_GB2312"/>
                <w:spacing w:val="5"/>
                <w:sz w:val="24"/>
                <w:szCs w:val="24"/>
                <w:highlight w:val="none"/>
              </w:rPr>
              <w:t>人居环境</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农田路</w:t>
            </w:r>
            <w:r>
              <w:rPr>
                <w:rFonts w:hint="eastAsia" w:ascii="仿宋_GB2312" w:hAnsi="仿宋_GB2312" w:eastAsia="仿宋_GB2312" w:cs="仿宋_GB2312"/>
                <w:spacing w:val="5"/>
                <w:sz w:val="24"/>
                <w:szCs w:val="24"/>
                <w:highlight w:val="none"/>
                <w:lang w:val="en-US" w:eastAsia="zh-CN"/>
              </w:rPr>
              <w:t>升级</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供水管网改造</w:t>
            </w:r>
            <w:r>
              <w:rPr>
                <w:rFonts w:hint="eastAsia" w:ascii="仿宋_GB2312" w:hAnsi="仿宋_GB2312" w:eastAsia="仿宋_GB2312" w:cs="仿宋_GB2312"/>
                <w:spacing w:val="5"/>
                <w:sz w:val="24"/>
                <w:szCs w:val="24"/>
                <w:highlight w:val="none"/>
                <w:lang w:eastAsia="zh-CN"/>
              </w:rPr>
              <w:t>，</w:t>
            </w:r>
            <w:r>
              <w:rPr>
                <w:rFonts w:hint="eastAsia" w:ascii="仿宋_GB2312" w:hAnsi="仿宋_GB2312" w:eastAsia="仿宋_GB2312" w:cs="仿宋_GB2312"/>
                <w:spacing w:val="5"/>
                <w:sz w:val="24"/>
                <w:szCs w:val="24"/>
                <w:highlight w:val="none"/>
              </w:rPr>
              <w:t>田间桥建设</w:t>
            </w:r>
            <w:r>
              <w:rPr>
                <w:rFonts w:hint="eastAsia" w:ascii="仿宋_GB2312" w:hAnsi="仿宋_GB2312" w:eastAsia="仿宋_GB2312" w:cs="仿宋_GB2312"/>
                <w:spacing w:val="5"/>
                <w:sz w:val="24"/>
                <w:szCs w:val="24"/>
                <w:highlight w:val="none"/>
                <w:lang w:val="en-US" w:eastAsia="zh-CN"/>
              </w:rPr>
              <w:t>等相关工程。谋划</w:t>
            </w:r>
            <w:r>
              <w:rPr>
                <w:rFonts w:hint="eastAsia" w:ascii="仿宋_GB2312" w:hAnsi="仿宋_GB2312" w:eastAsia="仿宋_GB2312" w:cs="仿宋_GB2312"/>
                <w:spacing w:val="5"/>
                <w:sz w:val="24"/>
                <w:szCs w:val="24"/>
                <w:highlight w:val="none"/>
              </w:rPr>
              <w:t>双鸭山农场改造提升高标准农田建设项目</w:t>
            </w:r>
          </w:p>
        </w:tc>
      </w:tr>
    </w:tbl>
    <w:p w14:paraId="5E01AC16">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2" w:firstLineChars="200"/>
        <w:jc w:val="both"/>
        <w:textAlignment w:val="baseline"/>
        <w:outlineLvl w:val="9"/>
        <w:rPr>
          <w:rFonts w:hint="eastAsia" w:ascii="仿宋_GB2312" w:hAnsi="仿宋_GB2312" w:eastAsia="仿宋_GB2312" w:cs="仿宋_GB2312"/>
          <w:spacing w:val="8"/>
          <w:sz w:val="32"/>
          <w:szCs w:val="32"/>
          <w:highlight w:val="none"/>
          <w:lang w:val="en-US" w:eastAsia="zh-CN"/>
        </w:rPr>
      </w:pPr>
    </w:p>
    <w:p w14:paraId="00301DB3">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57" w:name="_Toc27180"/>
      <w:r>
        <w:rPr>
          <w:rFonts w:hint="eastAsia"/>
          <w:b w:val="0"/>
          <w:bCs/>
          <w:highlight w:val="none"/>
          <w:lang w:val="en-US" w:eastAsia="zh-CN"/>
        </w:rPr>
        <w:t>第二节 统筹推进“四个农业”发展</w:t>
      </w:r>
      <w:bookmarkEnd w:id="57"/>
    </w:p>
    <w:p w14:paraId="6F4EB64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依托农业资源优势，将科技农业、绿色农业、质量农业、品牌农业互相融合，围绕农业产业链，形成“技术驱动、生态约束、品质保障、价值实现”的递进逻辑，打造“四位一体”战略体系，为现代化大农业建设提供保障。</w:t>
      </w:r>
    </w:p>
    <w:p w14:paraId="76971CC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强化科技赋能，夯实农业创新基础。</w:t>
      </w:r>
      <w:r>
        <w:rPr>
          <w:rFonts w:hint="eastAsia" w:ascii="仿宋_GB2312" w:hAnsi="仿宋_GB2312" w:eastAsia="仿宋_GB2312" w:cs="仿宋_GB2312"/>
          <w:spacing w:val="7"/>
          <w:sz w:val="32"/>
          <w:szCs w:val="32"/>
          <w:highlight w:val="none"/>
          <w:lang w:val="en-US" w:eastAsia="zh-CN"/>
        </w:rPr>
        <w:t>深化数智科技赋能发展，加速构建以物联网、卫星遥感等技术为基础的智慧农业体系，挖掘区块链技术在农产品溯源和供应链管理方面的优势，提升农业的数字化和智能化水平。推动农业机械智能化升级，建立先进农机具使用支持体系，推广植保无人机、自动驾驶农机等智能装备，推动全产业链数字化。优化田间管理，落实精准施肥、病虫害防控及保护性耕作等技术，提升农业生产效率与精细化水平。促进农业可持续发展，特别是在循环农业、有机农业、生态农业等领域，完善市场激励机制，加速技术突破和普及应用。培育和扶持农业数字化服务企业，鼓励开发生产、加工、销售各环节的数字化管理系统，为农业企业和农户提供定制化解决方案，实现生产过程可监控、产品质量可追溯、市场销售可预测。加强与电商平台合作，搭建农产品线上销售专区，举办农产品电商直播节、丰收购物节等活动，拓宽</w:t>
      </w:r>
      <w:r>
        <w:rPr>
          <w:rFonts w:hint="eastAsia" w:ascii="Times New Roman" w:hAnsi="Times New Roman" w:eastAsia="仿宋_GB2312" w:cs="Times New Roman"/>
          <w:spacing w:val="7"/>
          <w:sz w:val="32"/>
          <w:szCs w:val="32"/>
          <w:highlight w:val="none"/>
          <w:lang w:val="en-US" w:eastAsia="zh-CN"/>
        </w:rPr>
        <w:t>农产品销售渠道，提升农产品品牌知名度和市场竞争力。到2030年农业科技进步贡献率达72%，良种覆盖率100%，农林无人机作业覆盖率超50%。</w:t>
      </w:r>
    </w:p>
    <w:p w14:paraId="2B88AB5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坚持绿色转型，筑牢生态安全屏障。</w:t>
      </w:r>
      <w:r>
        <w:rPr>
          <w:rFonts w:hint="eastAsia" w:ascii="仿宋_GB2312" w:hAnsi="仿宋_GB2312" w:eastAsia="仿宋_GB2312" w:cs="仿宋_GB2312"/>
          <w:spacing w:val="7"/>
          <w:sz w:val="32"/>
          <w:szCs w:val="32"/>
          <w:highlight w:val="none"/>
          <w:lang w:val="en-US" w:eastAsia="zh-CN"/>
        </w:rPr>
        <w:t>加速推进农业要素投入的绿色化转型，推动绿色肥料、绿色农药、绿色机械和绿色能源等替代使用。加速农业生产过程绿色转型，健全绿肥施用、生物防治、轮作倒茬等生产方式的激励约束机制，减少农业生产的负外部性。完善以“三标一品”为代表的绿色农产品标准认证体系，发展循环农业，依托森工、北大荒集团资源与体系优势，整合土地资源，推广“种养循环”“林下养殖”等模式，实现农业多元循环和增值。推动秸秆的综合利用、粪污的无害化处理等农业废弃物的循环利用，积极探索农业与二、三产业间循环经济的新模式。</w:t>
      </w:r>
    </w:p>
    <w:p w14:paraId="0AC8DF6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深化质量革命，提升产业链竞争力。不断</w:t>
      </w:r>
      <w:r>
        <w:rPr>
          <w:rFonts w:hint="eastAsia" w:ascii="仿宋_GB2312" w:hAnsi="仿宋_GB2312" w:eastAsia="仿宋_GB2312" w:cs="仿宋_GB2312"/>
          <w:spacing w:val="7"/>
          <w:sz w:val="32"/>
          <w:szCs w:val="32"/>
          <w:highlight w:val="none"/>
          <w:lang w:val="en-US" w:eastAsia="zh-CN"/>
        </w:rPr>
        <w:t>提升农产品品质，从技术应用、结构调整、基础设施建设等方面，完善农产品质量的基础支撑体系。以大食物观构建多元化农产品生产体系，实施多样化种养，拓展农业新产品与新业态。通过整合农业产业链，推动“产加销”一体化，强化市场倒逼机制，提升农业生产质量标准。通过促进农业与二、三产业的深度融合，提升农业综合效益，拓展农业高质量的多</w:t>
      </w:r>
      <w:r>
        <w:rPr>
          <w:rFonts w:hint="eastAsia" w:ascii="Times New Roman" w:hAnsi="Times New Roman" w:eastAsia="仿宋_GB2312" w:cs="Times New Roman"/>
          <w:spacing w:val="7"/>
          <w:sz w:val="32"/>
          <w:szCs w:val="32"/>
          <w:highlight w:val="none"/>
          <w:lang w:val="en-US" w:eastAsia="zh-CN"/>
        </w:rPr>
        <w:t>元化路径。依托全区1103栋棚室，不断</w:t>
      </w:r>
      <w:r>
        <w:rPr>
          <w:rFonts w:hint="eastAsia" w:ascii="仿宋_GB2312" w:hAnsi="仿宋_GB2312" w:eastAsia="仿宋_GB2312" w:cs="仿宋_GB2312"/>
          <w:spacing w:val="7"/>
          <w:sz w:val="32"/>
          <w:szCs w:val="32"/>
          <w:highlight w:val="none"/>
          <w:lang w:val="en-US" w:eastAsia="zh-CN"/>
        </w:rPr>
        <w:t>提升特色经济作物发展规模。不断优化种植结构、种养结构、业态结构等农业产业结构，提升农业发展的结构质量。</w:t>
      </w:r>
    </w:p>
    <w:p w14:paraId="676080F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聚焦品牌引领，拓展市场增值空间。</w:t>
      </w:r>
      <w:r>
        <w:rPr>
          <w:rFonts w:hint="eastAsia" w:ascii="仿宋_GB2312" w:hAnsi="仿宋_GB2312" w:eastAsia="仿宋_GB2312" w:cs="仿宋_GB2312"/>
          <w:spacing w:val="7"/>
          <w:sz w:val="32"/>
          <w:szCs w:val="32"/>
          <w:highlight w:val="none"/>
          <w:lang w:val="en-US" w:eastAsia="zh-CN"/>
        </w:rPr>
        <w:t>紧跟农产品消费的升级趋势和需求变化，完善农产品消费市场品牌认知的信号功能，强化品质升级、品牌赋能，提升农产品供给与市场需求的匹配度。以品牌化发展为核心，提升农产品市场定价能力，促进品牌溢价向农业生产环节的传递。通过讲述品牌故事、传递文化内涵和情感价值，提升农产品的消费价值属性，增强农业品牌的溢价效应。重点打造南瓮泉食用菌“种植－加工－销售”全链条体系，宝山村果蔬种植采摘基地，推进宝山中心经营所升级绿色食品加工厂智能化改造工程，大叶沟林场泡菜生产基地提质扩能项目，推动“林产品+酒文化”融合开发，举办“山野菜采摘节”“森林文化节”等活动，对区域农业品牌进行全面宣传推广，集全区之力，实现“原料共享、加工联动、品牌共建”新农业。</w:t>
      </w:r>
    </w:p>
    <w:p w14:paraId="2619DF16">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表7  “四个农业”统筹推进工程</w:t>
      </w:r>
    </w:p>
    <w:p w14:paraId="54C58A8A">
      <w:pPr>
        <w:spacing w:line="52" w:lineRule="auto"/>
        <w:rPr>
          <w:rFonts w:ascii="Arial"/>
          <w:sz w:val="2"/>
          <w:highlight w:val="none"/>
        </w:rPr>
      </w:pPr>
    </w:p>
    <w:tbl>
      <w:tblPr>
        <w:tblStyle w:val="13"/>
        <w:tblW w:w="83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6"/>
        <w:gridCol w:w="2988"/>
        <w:gridCol w:w="4355"/>
      </w:tblGrid>
      <w:tr w14:paraId="4E97E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1026" w:type="dxa"/>
            <w:tcBorders>
              <w:top w:val="single" w:color="000000" w:sz="10" w:space="0"/>
              <w:left w:val="nil"/>
              <w:bottom w:val="single" w:color="000000" w:sz="10" w:space="0"/>
            </w:tcBorders>
            <w:vAlign w:val="center"/>
          </w:tcPr>
          <w:p w14:paraId="64AAA9C2">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2988" w:type="dxa"/>
            <w:tcBorders>
              <w:top w:val="single" w:color="000000" w:sz="10" w:space="0"/>
              <w:bottom w:val="single" w:color="000000" w:sz="10" w:space="0"/>
            </w:tcBorders>
            <w:vAlign w:val="center"/>
          </w:tcPr>
          <w:p w14:paraId="40B4DCF0">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发展目标</w:t>
            </w:r>
          </w:p>
        </w:tc>
        <w:tc>
          <w:tcPr>
            <w:tcW w:w="4355" w:type="dxa"/>
            <w:tcBorders>
              <w:top w:val="single" w:color="000000" w:sz="10" w:space="0"/>
              <w:bottom w:val="single" w:color="000000" w:sz="10" w:space="0"/>
              <w:right w:val="nil"/>
            </w:tcBorders>
            <w:vAlign w:val="center"/>
          </w:tcPr>
          <w:p w14:paraId="04266EDA">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重点任务</w:t>
            </w:r>
            <w:r>
              <w:rPr>
                <w:rFonts w:hint="eastAsia" w:ascii="黑体" w:hAnsi="黑体" w:eastAsia="黑体" w:cs="黑体"/>
                <w:b w:val="0"/>
                <w:bCs w:val="0"/>
                <w:spacing w:val="2"/>
                <w:sz w:val="24"/>
                <w:szCs w:val="24"/>
                <w:highlight w:val="none"/>
                <w:lang w:val="en-US" w:eastAsia="zh-CN"/>
              </w:rPr>
              <w:t>及</w:t>
            </w:r>
            <w:r>
              <w:rPr>
                <w:rFonts w:hint="eastAsia" w:ascii="黑体" w:hAnsi="黑体" w:eastAsia="黑体" w:cs="黑体"/>
                <w:b w:val="0"/>
                <w:bCs w:val="0"/>
                <w:spacing w:val="2"/>
                <w:sz w:val="24"/>
                <w:szCs w:val="24"/>
                <w:highlight w:val="none"/>
              </w:rPr>
              <w:t>项目</w:t>
            </w:r>
          </w:p>
        </w:tc>
      </w:tr>
      <w:tr w14:paraId="23A11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 w:hRule="atLeast"/>
          <w:jc w:val="center"/>
        </w:trPr>
        <w:tc>
          <w:tcPr>
            <w:tcW w:w="1026" w:type="dxa"/>
            <w:tcBorders>
              <w:top w:val="single" w:color="000000" w:sz="10" w:space="0"/>
              <w:left w:val="nil"/>
            </w:tcBorders>
            <w:vAlign w:val="top"/>
          </w:tcPr>
          <w:p w14:paraId="3035EEFA">
            <w:pPr>
              <w:pStyle w:val="14"/>
              <w:spacing w:before="75" w:line="320" w:lineRule="auto"/>
              <w:ind w:right="49"/>
              <w:jc w:val="center"/>
              <w:rPr>
                <w:rFonts w:hint="eastAsia" w:ascii="仿宋_GB2312" w:hAnsi="仿宋_GB2312" w:eastAsia="仿宋_GB2312" w:cs="仿宋_GB2312"/>
                <w:spacing w:val="1"/>
                <w:sz w:val="24"/>
                <w:szCs w:val="24"/>
                <w:highlight w:val="none"/>
              </w:rPr>
            </w:pPr>
          </w:p>
          <w:p w14:paraId="470EAD99">
            <w:pPr>
              <w:pStyle w:val="14"/>
              <w:spacing w:before="75" w:line="320" w:lineRule="auto"/>
              <w:ind w:right="49"/>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科技</w:t>
            </w:r>
            <w:r>
              <w:rPr>
                <w:rFonts w:hint="eastAsia" w:ascii="仿宋_GB2312" w:hAnsi="仿宋_GB2312" w:eastAsia="仿宋_GB2312" w:cs="仿宋_GB2312"/>
                <w:spacing w:val="-1"/>
                <w:sz w:val="24"/>
                <w:szCs w:val="24"/>
                <w:highlight w:val="none"/>
              </w:rPr>
              <w:t>兴农</w:t>
            </w:r>
          </w:p>
        </w:tc>
        <w:tc>
          <w:tcPr>
            <w:tcW w:w="2988" w:type="dxa"/>
            <w:tcBorders>
              <w:top w:val="single" w:color="000000" w:sz="10" w:space="0"/>
            </w:tcBorders>
            <w:vAlign w:val="top"/>
          </w:tcPr>
          <w:p w14:paraId="34C974E4">
            <w:pPr>
              <w:pStyle w:val="14"/>
              <w:spacing w:before="74" w:line="320" w:lineRule="auto"/>
              <w:ind w:right="135"/>
              <w:jc w:val="both"/>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农业科技进步贡献率达到72%，良种覆盖率100%，农林无人机作业覆盖率超50%</w:t>
            </w:r>
          </w:p>
        </w:tc>
        <w:tc>
          <w:tcPr>
            <w:tcW w:w="4355" w:type="dxa"/>
            <w:tcBorders>
              <w:top w:val="single" w:color="000000" w:sz="10" w:space="0"/>
              <w:right w:val="nil"/>
            </w:tcBorders>
            <w:vAlign w:val="center"/>
          </w:tcPr>
          <w:p w14:paraId="4185A8C0">
            <w:pPr>
              <w:pStyle w:val="14"/>
              <w:spacing w:before="74" w:line="320" w:lineRule="auto"/>
              <w:ind w:right="135"/>
              <w:jc w:val="both"/>
              <w:rPr>
                <w:rFonts w:hint="eastAsia" w:ascii="仿宋_GB2312" w:hAnsi="仿宋_GB2312" w:eastAsia="仿宋_GB2312" w:cs="仿宋_GB2312"/>
                <w:spacing w:val="6"/>
                <w:sz w:val="24"/>
                <w:szCs w:val="24"/>
                <w:highlight w:val="none"/>
                <w:lang w:val="en-US" w:eastAsia="zh-CN"/>
              </w:rPr>
            </w:pPr>
            <w:r>
              <w:rPr>
                <w:rFonts w:hint="eastAsia" w:ascii="仿宋_GB2312" w:hAnsi="仿宋_GB2312" w:eastAsia="仿宋_GB2312" w:cs="仿宋_GB2312"/>
                <w:spacing w:val="6"/>
                <w:sz w:val="24"/>
                <w:szCs w:val="24"/>
                <w:highlight w:val="none"/>
                <w:lang w:val="en-US" w:eastAsia="zh-CN"/>
              </w:rPr>
              <w:t>推动农业机械智能化升级，强化田间管理，促进农业可持续发展，加强与电商平台合作，拓宽农产品销售渠道</w:t>
            </w:r>
          </w:p>
        </w:tc>
      </w:tr>
      <w:tr w14:paraId="52D29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1" w:hRule="atLeast"/>
          <w:jc w:val="center"/>
        </w:trPr>
        <w:tc>
          <w:tcPr>
            <w:tcW w:w="1026" w:type="dxa"/>
            <w:tcBorders>
              <w:left w:val="nil"/>
            </w:tcBorders>
            <w:vAlign w:val="center"/>
          </w:tcPr>
          <w:p w14:paraId="576014F3">
            <w:pPr>
              <w:spacing w:line="279" w:lineRule="auto"/>
              <w:jc w:val="center"/>
              <w:rPr>
                <w:rFonts w:hint="eastAsia" w:ascii="仿宋_GB2312" w:hAnsi="仿宋_GB2312" w:eastAsia="仿宋_GB2312" w:cs="仿宋_GB2312"/>
                <w:sz w:val="24"/>
                <w:szCs w:val="24"/>
                <w:highlight w:val="none"/>
              </w:rPr>
            </w:pPr>
          </w:p>
          <w:p w14:paraId="657A6D94">
            <w:pPr>
              <w:pStyle w:val="14"/>
              <w:spacing w:before="74" w:line="320" w:lineRule="auto"/>
              <w:ind w:right="49"/>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绿色</w:t>
            </w:r>
            <w:r>
              <w:rPr>
                <w:rFonts w:hint="eastAsia" w:ascii="仿宋_GB2312" w:hAnsi="仿宋_GB2312" w:eastAsia="仿宋_GB2312" w:cs="仿宋_GB2312"/>
                <w:spacing w:val="1"/>
                <w:sz w:val="24"/>
                <w:szCs w:val="24"/>
                <w:highlight w:val="none"/>
              </w:rPr>
              <w:t>优农</w:t>
            </w:r>
          </w:p>
        </w:tc>
        <w:tc>
          <w:tcPr>
            <w:tcW w:w="2988" w:type="dxa"/>
            <w:vAlign w:val="center"/>
          </w:tcPr>
          <w:p w14:paraId="3A5BBE1C">
            <w:pPr>
              <w:pStyle w:val="14"/>
              <w:spacing w:before="75" w:line="321" w:lineRule="auto"/>
              <w:jc w:val="left"/>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pacing w:val="5"/>
                <w:sz w:val="24"/>
                <w:szCs w:val="24"/>
                <w:highlight w:val="none"/>
                <w:lang w:val="en-US" w:eastAsia="zh-CN"/>
              </w:rPr>
              <w:t>绿色有机认证面积稳步增长</w:t>
            </w:r>
          </w:p>
        </w:tc>
        <w:tc>
          <w:tcPr>
            <w:tcW w:w="4355" w:type="dxa"/>
            <w:tcBorders>
              <w:right w:val="nil"/>
            </w:tcBorders>
            <w:vAlign w:val="center"/>
          </w:tcPr>
          <w:p w14:paraId="502C21BB">
            <w:pPr>
              <w:pStyle w:val="14"/>
              <w:spacing w:before="75" w:line="321"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lang w:val="en-US" w:eastAsia="zh-CN"/>
              </w:rPr>
              <w:t>充分挖掘双鸭山农场翠博园2000亩土地及384栋种植棚室潜力，扩大绿色有机蔬菜种植面积</w:t>
            </w:r>
          </w:p>
        </w:tc>
      </w:tr>
      <w:tr w14:paraId="30DEC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jc w:val="center"/>
        </w:trPr>
        <w:tc>
          <w:tcPr>
            <w:tcW w:w="1026" w:type="dxa"/>
            <w:tcBorders>
              <w:left w:val="nil"/>
            </w:tcBorders>
            <w:vAlign w:val="center"/>
          </w:tcPr>
          <w:p w14:paraId="36087CC8">
            <w:pPr>
              <w:pStyle w:val="14"/>
              <w:spacing w:before="75" w:line="321" w:lineRule="auto"/>
              <w:ind w:right="49"/>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质量</w:t>
            </w:r>
            <w:r>
              <w:rPr>
                <w:rFonts w:hint="eastAsia" w:ascii="仿宋_GB2312" w:hAnsi="仿宋_GB2312" w:eastAsia="仿宋_GB2312" w:cs="仿宋_GB2312"/>
                <w:spacing w:val="-2"/>
                <w:sz w:val="24"/>
                <w:szCs w:val="24"/>
                <w:highlight w:val="none"/>
              </w:rPr>
              <w:t>强农</w:t>
            </w:r>
          </w:p>
        </w:tc>
        <w:tc>
          <w:tcPr>
            <w:tcW w:w="2988" w:type="dxa"/>
            <w:vAlign w:val="center"/>
          </w:tcPr>
          <w:p w14:paraId="6EF3B8FA">
            <w:pPr>
              <w:pStyle w:val="14"/>
              <w:spacing w:before="75" w:line="321" w:lineRule="auto"/>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lang w:val="en-US" w:eastAsia="zh-CN"/>
              </w:rPr>
              <w:t>提升农业发展的结构质量</w:t>
            </w:r>
          </w:p>
        </w:tc>
        <w:tc>
          <w:tcPr>
            <w:tcW w:w="4355" w:type="dxa"/>
            <w:tcBorders>
              <w:right w:val="nil"/>
            </w:tcBorders>
            <w:vAlign w:val="top"/>
          </w:tcPr>
          <w:p w14:paraId="11B7E275">
            <w:pPr>
              <w:pStyle w:val="14"/>
              <w:spacing w:before="75" w:line="321" w:lineRule="auto"/>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三产融合发展，“产加销”一体化发展，全面构建现代质量农业发展新格局。依托全区1103栋棚室，提升特色经济作物种植规模</w:t>
            </w:r>
          </w:p>
        </w:tc>
      </w:tr>
      <w:tr w14:paraId="37405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0" w:hRule="atLeast"/>
          <w:jc w:val="center"/>
        </w:trPr>
        <w:tc>
          <w:tcPr>
            <w:tcW w:w="1026" w:type="dxa"/>
            <w:tcBorders>
              <w:left w:val="nil"/>
              <w:bottom w:val="single" w:color="000000" w:sz="12" w:space="0"/>
            </w:tcBorders>
            <w:vAlign w:val="top"/>
          </w:tcPr>
          <w:p w14:paraId="29EC76A7">
            <w:pPr>
              <w:pStyle w:val="14"/>
              <w:spacing w:before="217" w:line="228" w:lineRule="auto"/>
              <w:ind w:left="41"/>
              <w:rPr>
                <w:rFonts w:hint="eastAsia" w:ascii="仿宋_GB2312" w:hAnsi="仿宋_GB2312" w:eastAsia="仿宋_GB2312" w:cs="仿宋_GB2312"/>
                <w:spacing w:val="-6"/>
                <w:sz w:val="24"/>
                <w:szCs w:val="24"/>
                <w:highlight w:val="none"/>
              </w:rPr>
            </w:pPr>
          </w:p>
          <w:p w14:paraId="6241F606">
            <w:pPr>
              <w:pStyle w:val="14"/>
              <w:spacing w:before="217" w:line="228" w:lineRule="auto"/>
              <w:rPr>
                <w:rFonts w:hint="eastAsia" w:ascii="仿宋_GB2312" w:hAnsi="仿宋_GB2312" w:eastAsia="仿宋_GB2312" w:cs="仿宋_GB2312"/>
                <w:spacing w:val="-6"/>
                <w:sz w:val="24"/>
                <w:szCs w:val="24"/>
                <w:highlight w:val="none"/>
              </w:rPr>
            </w:pPr>
          </w:p>
          <w:p w14:paraId="24586C59">
            <w:pPr>
              <w:pStyle w:val="14"/>
              <w:spacing w:before="217" w:line="228" w:lineRule="auto"/>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6"/>
                <w:sz w:val="24"/>
                <w:szCs w:val="24"/>
                <w:highlight w:val="none"/>
              </w:rPr>
              <w:t>品牌</w:t>
            </w:r>
            <w:r>
              <w:rPr>
                <w:rFonts w:hint="eastAsia" w:ascii="仿宋_GB2312" w:hAnsi="仿宋_GB2312" w:eastAsia="仿宋_GB2312" w:cs="仿宋_GB2312"/>
                <w:spacing w:val="-3"/>
                <w:sz w:val="24"/>
                <w:szCs w:val="24"/>
                <w:highlight w:val="none"/>
              </w:rPr>
              <w:t>惠农</w:t>
            </w:r>
          </w:p>
        </w:tc>
        <w:tc>
          <w:tcPr>
            <w:tcW w:w="2988" w:type="dxa"/>
            <w:tcBorders>
              <w:bottom w:val="single" w:color="000000" w:sz="12" w:space="0"/>
            </w:tcBorders>
            <w:vAlign w:val="top"/>
          </w:tcPr>
          <w:p w14:paraId="54DCACB6">
            <w:pPr>
              <w:pStyle w:val="14"/>
              <w:spacing w:before="75" w:line="321" w:lineRule="auto"/>
              <w:jc w:val="left"/>
              <w:rPr>
                <w:rFonts w:hint="eastAsia" w:ascii="仿宋_GB2312" w:hAnsi="仿宋_GB2312" w:eastAsia="仿宋_GB2312" w:cs="仿宋_GB2312"/>
                <w:spacing w:val="-6"/>
                <w:sz w:val="24"/>
                <w:szCs w:val="24"/>
                <w:highlight w:val="none"/>
                <w:lang w:val="en-US"/>
              </w:rPr>
            </w:pPr>
            <w:r>
              <w:rPr>
                <w:rFonts w:hint="eastAsia" w:ascii="仿宋_GB2312" w:hAnsi="仿宋_GB2312" w:eastAsia="仿宋_GB2312" w:cs="仿宋_GB2312"/>
                <w:spacing w:val="5"/>
                <w:sz w:val="24"/>
                <w:szCs w:val="24"/>
                <w:highlight w:val="none"/>
                <w:lang w:val="en-US" w:eastAsia="zh-CN"/>
              </w:rPr>
              <w:t>打响“山野菜采摘节”“森林文化节”等农旅活动品牌，深入开发“林产品+酒文化”品牌价值，培育壮大“酿清谷”酒类品牌，“南瓮泉”菌类品牌</w:t>
            </w:r>
          </w:p>
        </w:tc>
        <w:tc>
          <w:tcPr>
            <w:tcW w:w="4355" w:type="dxa"/>
            <w:tcBorders>
              <w:bottom w:val="single" w:color="000000" w:sz="12" w:space="0"/>
              <w:right w:val="nil"/>
            </w:tcBorders>
            <w:vAlign w:val="top"/>
          </w:tcPr>
          <w:p w14:paraId="1B545D0E">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p>
          <w:p w14:paraId="4AA55CBD">
            <w:pPr>
              <w:pStyle w:val="14"/>
              <w:spacing w:before="75" w:line="321"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lang w:val="en-US" w:eastAsia="zh-CN"/>
              </w:rPr>
              <w:t>实施宝山中心经营所升级绿色食品加工厂智能化改造工程，大叶沟林场泡菜生产基地提质扩能项目</w:t>
            </w:r>
          </w:p>
        </w:tc>
      </w:tr>
    </w:tbl>
    <w:p w14:paraId="11F62405">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z w:val="32"/>
          <w:szCs w:val="32"/>
          <w:highlight w:val="none"/>
        </w:rPr>
      </w:pPr>
    </w:p>
    <w:p w14:paraId="6E44D9A1">
      <w:pPr>
        <w:pStyle w:val="3"/>
        <w:pageBreakBefore w:val="0"/>
        <w:widowControl/>
        <w:kinsoku w:val="0"/>
        <w:wordWrap/>
        <w:overflowPunct/>
        <w:topLinePunct w:val="0"/>
        <w:autoSpaceDE w:val="0"/>
        <w:autoSpaceDN w:val="0"/>
        <w:bidi w:val="0"/>
        <w:adjustRightInd w:val="0"/>
        <w:snapToGrid w:val="0"/>
        <w:spacing w:before="0" w:beforeLines="0" w:after="0" w:afterLines="0" w:line="580" w:lineRule="exact"/>
        <w:jc w:val="center"/>
        <w:textAlignment w:val="baseline"/>
        <w:rPr>
          <w:rFonts w:hint="eastAsia"/>
          <w:b w:val="0"/>
          <w:bCs/>
          <w:highlight w:val="none"/>
          <w:lang w:val="en-US" w:eastAsia="zh-CN"/>
        </w:rPr>
      </w:pPr>
      <w:bookmarkStart w:id="58" w:name="_Toc30999"/>
      <w:r>
        <w:rPr>
          <w:rFonts w:hint="eastAsia"/>
          <w:b w:val="0"/>
          <w:bCs/>
          <w:highlight w:val="none"/>
          <w:lang w:val="en-US" w:eastAsia="zh-CN"/>
        </w:rPr>
        <w:t>第三节 提升食物供给保障能力</w:t>
      </w:r>
      <w:bookmarkEnd w:id="58"/>
    </w:p>
    <w:p w14:paraId="2229A21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树立大农业观、大食物观，农林牧渔并举，构建多元化食物供给体系，全方位、多途径开发食物资源，保障各类食物有效供给，更高质量满足人民群众多元化食物消费和营养健康需求。</w:t>
      </w:r>
    </w:p>
    <w:p w14:paraId="7210906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发展畜禽养殖，提升畜禽养殖标准化水平。</w:t>
      </w:r>
      <w:r>
        <w:rPr>
          <w:rFonts w:hint="eastAsia" w:ascii="仿宋_GB2312" w:hAnsi="仿宋_GB2312" w:eastAsia="仿宋_GB2312" w:cs="仿宋_GB2312"/>
          <w:spacing w:val="7"/>
          <w:sz w:val="32"/>
          <w:szCs w:val="32"/>
          <w:highlight w:val="none"/>
          <w:lang w:val="en-US" w:eastAsia="zh-CN"/>
        </w:rPr>
        <w:t>以标准化、现代化、高质量发展为方向引领，以提高劳动生产率、资源转化率和畜禽生产率等“三率”为核心目标，创建一批集约高效、生态健康、产品优质、生产安全，具有标杆引领作用的示范养殖场，进一步加快构建现代养殖体系，全面提升畜牧业现代化水平。扩大养殖规模，重点推进大鹅、生猪、肉牛产业规模化发展。推进农业种鹅繁育基地，瀚云家禽大鹅养殖项目建设，统筹推进全区大鹅产业全链条发展，力争将大鹅产业打造为我区农业经济增长新引擎，到“十五五”末期，畜牧养殖产业年营业收入显著提升。</w:t>
      </w:r>
      <w:r>
        <w:rPr>
          <w:rFonts w:hint="eastAsia" w:ascii="仿宋_GB2312" w:hAnsi="仿宋_GB2312" w:eastAsia="仿宋_GB2312" w:cs="仿宋_GB2312"/>
          <w:spacing w:val="7"/>
          <w:sz w:val="32"/>
          <w:szCs w:val="32"/>
          <w:lang w:val="en-US" w:eastAsia="zh-CN"/>
        </w:rPr>
        <w:t>全面提高野生动植物保护管理水平。</w:t>
      </w:r>
      <w:r>
        <w:rPr>
          <w:rFonts w:hint="eastAsia" w:ascii="仿宋_GB2312" w:hAnsi="仿宋_GB2312" w:eastAsia="仿宋_GB2312" w:cs="仿宋_GB2312"/>
          <w:spacing w:val="11"/>
          <w:sz w:val="32"/>
          <w:szCs w:val="32"/>
          <w:lang w:val="en-US" w:eastAsia="zh-CN"/>
        </w:rPr>
        <w:t>有效保护陆生野生动植物及其栖息地。常态化开展巡山清套反盗猎行动和候鸟等野生动物保护专项行动，依法严厉打击乱捕滥猎野生动物违法犯罪行为。</w:t>
      </w:r>
    </w:p>
    <w:p w14:paraId="6AFAE05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发展林下经济，稳妥开发森林食物资源。</w:t>
      </w:r>
      <w:r>
        <w:rPr>
          <w:rFonts w:hint="eastAsia" w:ascii="仿宋_GB2312" w:hAnsi="仿宋_GB2312" w:eastAsia="仿宋_GB2312" w:cs="仿宋_GB2312"/>
          <w:spacing w:val="7"/>
          <w:sz w:val="32"/>
          <w:szCs w:val="32"/>
          <w:highlight w:val="none"/>
          <w:lang w:val="en-US" w:eastAsia="zh-CN"/>
        </w:rPr>
        <w:t>以扩大特色种养规模、延伸产业链，实现“种植标准化、养殖生态化、产品品牌化”为核心，推动林下经济精深加工产业链延伸。共建林下种植示范基地，推广平欧榛子、小苹果等经济果林，扩大林菌、林药种植规模。统一生态养殖标准，发展森林鸡、森林猪、森林蜂、生态鹅、林蛙等林下养殖业。划定山野菜、野生菌类采集区域，制定可持续标准，避免过度开发。在农产品精深加工上，以速冻山野菜、保健茶、林场泡菜为基础，打造“林区泡菜”区域品牌，整合酒厂、酒庄资源，提升白酒、山葡萄酒加工工艺，推动“林产品+酒文化”融合开发，实现全链条协同发展。</w:t>
      </w:r>
    </w:p>
    <w:p w14:paraId="575F2A8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default"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发展冷水渔业，以发展生态渔业为重点，构建全链条冷水鱼产业发展体系。依托区域优质冷水资源，培育鲟鳇鱼、虹鳟、柳根鱼等名优品种，推进标准化池塘改造与工厂化循环水养殖基地建设，借力省级苗种繁育、养殖设施升级补贴政策，提升优质苗种供给与生态养殖能力。</w:t>
      </w:r>
    </w:p>
    <w:p w14:paraId="1B320ED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壮大设施农业，加快推进设施农业建设。</w:t>
      </w:r>
      <w:r>
        <w:rPr>
          <w:rFonts w:hint="eastAsia" w:ascii="仿宋_GB2312" w:hAnsi="仿宋_GB2312" w:eastAsia="仿宋_GB2312" w:cs="仿宋_GB2312"/>
          <w:spacing w:val="7"/>
          <w:sz w:val="32"/>
          <w:szCs w:val="32"/>
          <w:highlight w:val="none"/>
          <w:lang w:val="en-US" w:eastAsia="zh-CN"/>
        </w:rPr>
        <w:t>保障高效化、集约化和可持续化多元食物供给。落实设施农业现代化提升行动，通过“升级改造+盘活利用”双路径激活存量资源，规模化发展反季蔬菜、特色水果等优势品类，依托黑龙江省“小菜园”建设政策红利，构建区域性鲜食农产品供给基地。重点推进食用菌产业现代化升级，实施养殖基地设备更新工程，引入全自动拌料、装袋、灭菌等轻简化机械装备，采用玉米芯、稻草等农业副产物替代传统木屑基质，推广重金属镉污染防控与病虫害无害化防治技术。力争实现挂袋菌包年</w:t>
      </w:r>
      <w:r>
        <w:rPr>
          <w:rFonts w:hint="eastAsia" w:ascii="Times New Roman" w:hAnsi="Times New Roman" w:eastAsia="仿宋_GB2312" w:cs="Times New Roman"/>
          <w:spacing w:val="7"/>
          <w:sz w:val="32"/>
          <w:szCs w:val="32"/>
          <w:highlight w:val="none"/>
          <w:lang w:val="en-US" w:eastAsia="zh-CN"/>
        </w:rPr>
        <w:t>产1000万棒</w:t>
      </w:r>
      <w:r>
        <w:rPr>
          <w:rFonts w:hint="eastAsia" w:ascii="仿宋_GB2312" w:hAnsi="仿宋_GB2312" w:eastAsia="仿宋_GB2312" w:cs="仿宋_GB2312"/>
          <w:spacing w:val="7"/>
          <w:sz w:val="32"/>
          <w:szCs w:val="32"/>
          <w:highlight w:val="none"/>
          <w:lang w:val="en-US" w:eastAsia="zh-CN"/>
        </w:rPr>
        <w:t>以上，新增冬蘑、黑木耳等优质品种，构建“农业废弃物-菌菇种植－有机肥还田”的循环产业模式，同步带动农户就地就业增收。推进标准化棚室设施建设。</w:t>
      </w:r>
    </w:p>
    <w:p w14:paraId="58EC2ED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巩固提升产能，夯实重要农产品供给基础。</w:t>
      </w:r>
      <w:r>
        <w:rPr>
          <w:rFonts w:hint="eastAsia" w:ascii="仿宋_GB2312" w:hAnsi="仿宋_GB2312" w:eastAsia="仿宋_GB2312" w:cs="仿宋_GB2312"/>
          <w:spacing w:val="7"/>
          <w:sz w:val="32"/>
          <w:szCs w:val="32"/>
          <w:highlight w:val="none"/>
          <w:lang w:val="en-US" w:eastAsia="zh-CN"/>
        </w:rPr>
        <w:t>立足资源禀赋和产业基础，逐步形成畜牧企业带动小规模养殖户协同发展的养殖模式。发展高度集约化、立体化、自动化的设施农业，依托大棚稳定产出高品质、特色化反季节产品，推广品牌化与订单农业，直供商超、电商、高端餐饮，向规模化、科技化方向发展。</w:t>
      </w:r>
    </w:p>
    <w:p w14:paraId="20318A65">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表8  多元化食物供给能力提升工程</w:t>
      </w:r>
    </w:p>
    <w:tbl>
      <w:tblPr>
        <w:tblStyle w:val="13"/>
        <w:tblW w:w="85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0"/>
        <w:gridCol w:w="7539"/>
      </w:tblGrid>
      <w:tr w14:paraId="7B585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80" w:type="dxa"/>
            <w:tcBorders>
              <w:top w:val="single" w:color="000000" w:sz="10" w:space="0"/>
              <w:left w:val="nil"/>
              <w:bottom w:val="single" w:color="000000" w:sz="10" w:space="0"/>
            </w:tcBorders>
            <w:vAlign w:val="top"/>
          </w:tcPr>
          <w:p w14:paraId="761CB367">
            <w:pPr>
              <w:spacing w:before="122" w:line="229" w:lineRule="auto"/>
              <w:jc w:val="center"/>
              <w:rPr>
                <w:rFonts w:hint="eastAsia" w:ascii="黑体" w:hAnsi="黑体" w:eastAsia="黑体" w:cs="黑体"/>
                <w:b w:val="0"/>
                <w:bCs w:val="0"/>
                <w:spacing w:val="2"/>
                <w:sz w:val="24"/>
                <w:szCs w:val="24"/>
                <w:highlight w:val="none"/>
                <w:lang w:eastAsia="zh-CN"/>
              </w:rPr>
            </w:pPr>
            <w:r>
              <w:rPr>
                <w:rFonts w:hint="eastAsia" w:ascii="黑体" w:hAnsi="黑体" w:eastAsia="黑体" w:cs="黑体"/>
                <w:b w:val="0"/>
                <w:bCs w:val="0"/>
                <w:spacing w:val="2"/>
                <w:sz w:val="24"/>
                <w:szCs w:val="24"/>
                <w:highlight w:val="none"/>
                <w:lang w:val="en-US" w:eastAsia="zh-CN"/>
              </w:rPr>
              <w:t>方向</w:t>
            </w:r>
          </w:p>
        </w:tc>
        <w:tc>
          <w:tcPr>
            <w:tcW w:w="7539" w:type="dxa"/>
            <w:tcBorders>
              <w:top w:val="single" w:color="000000" w:sz="10" w:space="0"/>
              <w:bottom w:val="single" w:color="000000" w:sz="10" w:space="0"/>
              <w:right w:val="nil"/>
            </w:tcBorders>
            <w:vAlign w:val="top"/>
          </w:tcPr>
          <w:p w14:paraId="0C13D0A5">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重点任务</w:t>
            </w:r>
          </w:p>
        </w:tc>
      </w:tr>
      <w:tr w14:paraId="06ED6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7" w:hRule="atLeast"/>
        </w:trPr>
        <w:tc>
          <w:tcPr>
            <w:tcW w:w="980" w:type="dxa"/>
            <w:tcBorders>
              <w:top w:val="single" w:color="000000" w:sz="10" w:space="0"/>
              <w:left w:val="nil"/>
            </w:tcBorders>
            <w:vAlign w:val="center"/>
          </w:tcPr>
          <w:p w14:paraId="0A64C03B">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夯实供</w:t>
            </w:r>
          </w:p>
          <w:p w14:paraId="33D3E999">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给基础</w:t>
            </w:r>
          </w:p>
        </w:tc>
        <w:tc>
          <w:tcPr>
            <w:tcW w:w="7539" w:type="dxa"/>
            <w:tcBorders>
              <w:top w:val="single" w:color="000000" w:sz="10" w:space="0"/>
              <w:right w:val="nil"/>
            </w:tcBorders>
            <w:vAlign w:val="center"/>
          </w:tcPr>
          <w:p w14:paraId="44591277">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深度开发资源禀赋和产业基础，加快集约化、立体化、自动化设施农业建设，引导农业向规模化和科技化发展，为实现农业高质量打牢基础</w:t>
            </w:r>
          </w:p>
        </w:tc>
      </w:tr>
      <w:tr w14:paraId="2C88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80" w:type="dxa"/>
            <w:tcBorders>
              <w:left w:val="nil"/>
            </w:tcBorders>
            <w:vAlign w:val="center"/>
          </w:tcPr>
          <w:p w14:paraId="03508FBB">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发展林</w:t>
            </w:r>
          </w:p>
          <w:p w14:paraId="70A39AF0">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下经济</w:t>
            </w:r>
          </w:p>
        </w:tc>
        <w:tc>
          <w:tcPr>
            <w:tcW w:w="7539" w:type="dxa"/>
            <w:tcBorders>
              <w:right w:val="nil"/>
            </w:tcBorders>
            <w:vAlign w:val="center"/>
          </w:tcPr>
          <w:p w14:paraId="59CB297D">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发展森林鸡、森林猪、森林蜂、生态鹅、林蛙等林下养殖业。以加工速冻山野菜，保健茶及林场泡菜为基础，打造“林区泡菜”区域品牌</w:t>
            </w:r>
          </w:p>
        </w:tc>
      </w:tr>
      <w:tr w14:paraId="0EB56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80" w:type="dxa"/>
            <w:tcBorders>
              <w:left w:val="nil"/>
            </w:tcBorders>
            <w:vAlign w:val="center"/>
          </w:tcPr>
          <w:p w14:paraId="56FFF3FD">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发展畜禽养殖</w:t>
            </w:r>
          </w:p>
        </w:tc>
        <w:tc>
          <w:tcPr>
            <w:tcW w:w="7539" w:type="dxa"/>
            <w:tcBorders>
              <w:right w:val="nil"/>
            </w:tcBorders>
            <w:vAlign w:val="center"/>
          </w:tcPr>
          <w:p w14:paraId="4C5C2C59">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推进农业种鹅繁育基地，大鹅孵化、养殖、加工、屠宰项目建设，统筹推进全区大鹅产业全链条发展</w:t>
            </w:r>
          </w:p>
        </w:tc>
      </w:tr>
      <w:tr w14:paraId="3F1AE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980" w:type="dxa"/>
            <w:tcBorders>
              <w:left w:val="nil"/>
            </w:tcBorders>
            <w:vAlign w:val="center"/>
          </w:tcPr>
          <w:p w14:paraId="33318517">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强化设施农业</w:t>
            </w:r>
          </w:p>
        </w:tc>
        <w:tc>
          <w:tcPr>
            <w:tcW w:w="7539" w:type="dxa"/>
            <w:tcBorders>
              <w:right w:val="nil"/>
            </w:tcBorders>
            <w:vAlign w:val="center"/>
          </w:tcPr>
          <w:p w14:paraId="516E3FEB">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统筹设施存量改造与增量拓展，稳步推进集中连片老旧低效设施改造，推进标准化棚室设施建设</w:t>
            </w:r>
          </w:p>
        </w:tc>
      </w:tr>
    </w:tbl>
    <w:p w14:paraId="6AE4BC47">
      <w:pPr>
        <w:spacing w:before="38" w:line="227" w:lineRule="auto"/>
        <w:jc w:val="both"/>
        <w:rPr>
          <w:rFonts w:hint="eastAsia" w:ascii="方正小标宋简体" w:hAnsi="方正小标宋简体" w:eastAsia="方正小标宋简体" w:cs="方正小标宋简体"/>
          <w:spacing w:val="7"/>
          <w:sz w:val="30"/>
          <w:szCs w:val="30"/>
          <w:highlight w:val="none"/>
          <w:lang w:val="en-US" w:eastAsia="zh-CN"/>
        </w:rPr>
      </w:pPr>
    </w:p>
    <w:p w14:paraId="0D5022D3">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表9  农业产业化水平提升工程</w:t>
      </w:r>
    </w:p>
    <w:tbl>
      <w:tblPr>
        <w:tblStyle w:val="13"/>
        <w:tblW w:w="8336" w:type="dxa"/>
        <w:tblInd w:w="0"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06"/>
        <w:gridCol w:w="1647"/>
        <w:gridCol w:w="5783"/>
      </w:tblGrid>
      <w:tr w14:paraId="6674E0C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97" w:hRule="atLeast"/>
        </w:trPr>
        <w:tc>
          <w:tcPr>
            <w:tcW w:w="906" w:type="dxa"/>
            <w:tcBorders>
              <w:left w:val="nil"/>
              <w:right w:val="single" w:color="000000" w:sz="2" w:space="0"/>
            </w:tcBorders>
            <w:vAlign w:val="top"/>
          </w:tcPr>
          <w:p w14:paraId="127F727D">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1647" w:type="dxa"/>
            <w:tcBorders>
              <w:left w:val="single" w:color="000000" w:sz="2" w:space="0"/>
              <w:right w:val="single" w:color="000000" w:sz="2" w:space="0"/>
            </w:tcBorders>
            <w:vAlign w:val="top"/>
          </w:tcPr>
          <w:p w14:paraId="22ADBCDF">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发展目标</w:t>
            </w:r>
          </w:p>
        </w:tc>
        <w:tc>
          <w:tcPr>
            <w:tcW w:w="5783" w:type="dxa"/>
            <w:tcBorders>
              <w:left w:val="single" w:color="000000" w:sz="2" w:space="0"/>
              <w:right w:val="nil"/>
            </w:tcBorders>
            <w:vAlign w:val="top"/>
          </w:tcPr>
          <w:p w14:paraId="0991F59A">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方向</w:t>
            </w:r>
          </w:p>
        </w:tc>
      </w:tr>
      <w:tr w14:paraId="2ED4F10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52" w:hRule="atLeast"/>
        </w:trPr>
        <w:tc>
          <w:tcPr>
            <w:tcW w:w="906" w:type="dxa"/>
            <w:tcBorders>
              <w:left w:val="nil"/>
              <w:right w:val="single" w:color="000000" w:sz="2" w:space="0"/>
            </w:tcBorders>
            <w:vAlign w:val="top"/>
          </w:tcPr>
          <w:p w14:paraId="0F3E1D50">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农产品加工产业集群</w:t>
            </w:r>
          </w:p>
        </w:tc>
        <w:tc>
          <w:tcPr>
            <w:tcW w:w="1647" w:type="dxa"/>
            <w:tcBorders>
              <w:left w:val="single" w:color="000000" w:sz="2" w:space="0"/>
              <w:right w:val="single" w:color="000000" w:sz="2" w:space="0"/>
            </w:tcBorders>
            <w:vAlign w:val="top"/>
          </w:tcPr>
          <w:p w14:paraId="1382537D">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在农产品加工上打造6个核心竞争力</w:t>
            </w:r>
          </w:p>
        </w:tc>
        <w:tc>
          <w:tcPr>
            <w:tcW w:w="5783" w:type="dxa"/>
            <w:tcBorders>
              <w:left w:val="single" w:color="000000" w:sz="2" w:space="0"/>
              <w:right w:val="nil"/>
            </w:tcBorders>
            <w:vAlign w:val="top"/>
          </w:tcPr>
          <w:p w14:paraId="76D94556">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整合农副产品发展资源，壮大延伸农副产品生产加工产业链，冻山野菜，林区泡菜，笨榨豆油，玉米食品，食用菌食品，大鹅制品竞争力</w:t>
            </w:r>
          </w:p>
        </w:tc>
      </w:tr>
    </w:tbl>
    <w:p w14:paraId="6BD3BCBB">
      <w:pPr>
        <w:bidi w:val="0"/>
        <w:rPr>
          <w:rFonts w:hint="eastAsia"/>
          <w:highlight w:val="none"/>
          <w:lang w:val="en-US" w:eastAsia="zh-CN"/>
        </w:rPr>
      </w:pPr>
      <w:bookmarkStart w:id="59" w:name="_Toc27733"/>
      <w:bookmarkStart w:id="60" w:name="_Toc12385"/>
    </w:p>
    <w:p w14:paraId="415A4E40">
      <w:pPr>
        <w:pStyle w:val="3"/>
        <w:pageBreakBefore w:val="0"/>
        <w:widowControl/>
        <w:kinsoku w:val="0"/>
        <w:wordWrap/>
        <w:overflowPunct/>
        <w:topLinePunct w:val="0"/>
        <w:autoSpaceDE w:val="0"/>
        <w:autoSpaceDN w:val="0"/>
        <w:bidi w:val="0"/>
        <w:adjustRightInd w:val="0"/>
        <w:snapToGrid w:val="0"/>
        <w:spacing w:before="0" w:beforeLines="0" w:after="0" w:afterLines="0" w:line="580" w:lineRule="exact"/>
        <w:jc w:val="center"/>
        <w:textAlignment w:val="baseline"/>
        <w:rPr>
          <w:rFonts w:hint="eastAsia"/>
          <w:b w:val="0"/>
          <w:bCs/>
          <w:highlight w:val="none"/>
          <w:lang w:val="en-US" w:eastAsia="zh-CN"/>
        </w:rPr>
      </w:pPr>
      <w:bookmarkStart w:id="61" w:name="_Toc21154"/>
      <w:r>
        <w:rPr>
          <w:rFonts w:hint="eastAsia"/>
          <w:b w:val="0"/>
          <w:bCs/>
          <w:highlight w:val="none"/>
          <w:lang w:val="en-US" w:eastAsia="zh-CN"/>
        </w:rPr>
        <w:t>第四节 扎实推进乡村全面振兴</w:t>
      </w:r>
      <w:bookmarkEnd w:id="59"/>
      <w:bookmarkEnd w:id="60"/>
      <w:bookmarkEnd w:id="61"/>
    </w:p>
    <w:p w14:paraId="2A80F58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sz w:val="32"/>
          <w:szCs w:val="32"/>
          <w:highlight w:val="none"/>
          <w:lang w:val="en-US" w:eastAsia="zh-CN"/>
        </w:rPr>
      </w:pPr>
      <w:bookmarkStart w:id="62" w:name="_Toc9423"/>
      <w:bookmarkStart w:id="63" w:name="_Toc28865"/>
      <w:r>
        <w:rPr>
          <w:rFonts w:hint="eastAsia" w:ascii="仿宋_GB2312" w:hAnsi="仿宋_GB2312" w:eastAsia="仿宋_GB2312" w:cs="仿宋_GB2312"/>
          <w:sz w:val="32"/>
          <w:szCs w:val="32"/>
          <w:highlight w:val="none"/>
          <w:lang w:val="en-US" w:eastAsia="zh-CN"/>
        </w:rPr>
        <w:t>坚持农业农村优先发展，坚持城乡融合发展，坚持守正创新，锚定推进乡村全面振兴、建设农业强国目标，以改革开放和科技创新为动力，巩固和完善农村基本经营制度，确保国家粮食安全，确保不发生规模性返贫致贫，提升乡村产业发展水平、乡村建设水平、乡村治理水平，千方百计推动农业增效益、农村增活力、农民增收入，为推进中国式现代化提供基础支撑。</w:t>
      </w:r>
      <w:bookmarkEnd w:id="62"/>
      <w:bookmarkEnd w:id="63"/>
    </w:p>
    <w:p w14:paraId="108DBCF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持续巩固拓展脱贫攻坚成果。</w:t>
      </w:r>
      <w:r>
        <w:rPr>
          <w:rFonts w:hint="eastAsia" w:ascii="仿宋_GB2312" w:hAnsi="仿宋_GB2312" w:eastAsia="仿宋_GB2312" w:cs="仿宋_GB2312"/>
          <w:spacing w:val="7"/>
          <w:sz w:val="32"/>
          <w:szCs w:val="32"/>
          <w:highlight w:val="none"/>
          <w:lang w:val="en-US" w:eastAsia="zh-CN"/>
        </w:rPr>
        <w:t>巩固提升“三保障”和饮水安全保障成果，提升防止返贫监测帮扶效能。全面加强衔接资金使用监管，建立符合区情实际的乡村振兴项目库，利用乡村振兴资金扶持一批大中型、科技型产业项目，重点推进大鹅等畜禽养殖，带动农业精深加工。强化垦地合作，助力农业高效生产。将联农带农作为政策倾斜的重要依据，引导企业、农民合作社与农户紧密合作，发挥新型集体经济组织作用，通过保底分红、入股参股、服务带动等方式，让农民更多分享产业增值收益，统筹推进巩固拓展脱贫攻坚成果同乡村振兴有效衔接。着力壮大区域富民产业，结合区域经济发展相关要求，不断发展乡村特色产业。深入实施农村产业融合发展项目，培育乡村新产业新业态。推进乡村文化和旅游深度融合，提升乡村旅游特色化、精品化、规范化水平。加快构建农产品和农资现代流通网络，支持各类主体协同共建供应链。推动农村电商高质量发展。扩大以工代赈项目实施规模，在重点工程项目和农业农村基础设施建设领域推广以工代赈。着力推进乡村建设，推动基础设施向农村延伸。开展农村公路及桥梁隧道风险隐患排查和整治，持续推动“四好农村路”高质量发展。推动冷链配送和即时零售向乡镇延伸。推动农村消费品以旧换新，完善废旧家电等回收网络。巩固提升农村电力保障水平，加强农村分布式可再生能源开发利用，鼓励有条件的地方建设公共充换电设施。提高农村基本公共服务水平。结合人口结构变化实际特点，不断优化区域教育资源配置，提升中心乡镇卫生院服务能力，推动远程医疗服务体系建设。加强农村传染病防控和应急处置能力建设，深入开展全民健身和爱国卫生运动。扩大未成年人救助保护机构覆盖面，提升留守儿童和困境儿童关爱服务质量。加强残疾人保障和康复救助。“十五五”末期，农村基础设施建设实现质效双升，人居环境达到“整洁、宜居、美丽”标准，形成“路通景美、设施完善、生态优良”的农村发</w:t>
      </w:r>
      <w:r>
        <w:rPr>
          <w:rFonts w:hint="eastAsia" w:ascii="Times New Roman" w:hAnsi="Times New Roman" w:eastAsia="仿宋_GB2312" w:cs="Times New Roman"/>
          <w:spacing w:val="7"/>
          <w:sz w:val="32"/>
          <w:szCs w:val="32"/>
          <w:highlight w:val="none"/>
          <w:lang w:val="en-US" w:eastAsia="zh-CN"/>
        </w:rPr>
        <w:t>展新格局。农村村内道路硬化率达100%，生活污水治理率突破85%，生活垃圾无害化处理率稳定在95%以上，卫生厕所普及率达95%，农村公共服务设施配套率达95%，村民生活便利性与幸福感显著提升。</w:t>
      </w:r>
    </w:p>
    <w:p w14:paraId="5DBF83F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加强农村生态环境治理。</w:t>
      </w:r>
      <w:r>
        <w:rPr>
          <w:rFonts w:hint="eastAsia" w:ascii="仿宋_GB2312" w:hAnsi="仿宋_GB2312" w:eastAsia="仿宋_GB2312" w:cs="仿宋_GB2312"/>
          <w:spacing w:val="7"/>
          <w:sz w:val="32"/>
          <w:szCs w:val="32"/>
          <w:highlight w:val="none"/>
          <w:lang w:val="en-US" w:eastAsia="zh-CN"/>
        </w:rPr>
        <w:t>实施土壤源头管控行动，推广测土配方施肥技术，根据土壤养分含量和作物需肥规律，精准施肥，减少化肥使用量，提高肥料利用率。加强对农业投入品的监管，严格控制高毒、高残留农药的使用，推广绿色防控技术。加大对规模养殖场的监管力度，确保粪污处理设施正常运行。对新建、改扩建养殖场，要求其配套建设粪污处理设施。推广干湿分离、厌氧发酵、堆肥还田等实用技术，提高畜禽粪污综合利用率。在各村屯设立农药包装废弃物回收点，配备专门的储存设施，定期对回收的农药包装废弃物进行集中运输和处置。鼓励农户积极参与回收，提高回收积极性。加强对农药包装废弃物回收工作的宣传教育，增强农民的环保意识，引导农民自觉将农药包装废弃物交至回收点。加大秸秆还田力度，形成肥料化利用为主、燃料化饲料化利用为辅的工作模式，推广秸秆粉碎还田、秸秆腐熟还田等技术，提高土壤有机质含量。扶持秸秆综合利用企业，发展秸秆饲料、秸秆燃料、秸秆基料化等产业，拓宽秸秆离田利用渠道。加强对秸秆综合利用的政策支持。</w:t>
      </w:r>
    </w:p>
    <w:p w14:paraId="7F84B16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default"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完善乡村振兴多元投入机制，强化财政保障、金融倾斜、社会参与，持续加大投入力度。落实粮食购销储备、主产区利益补偿及稻谷收购、耕地地力保护、玉米大豆生产者补贴政策，健全农资化肥保供稳价机制，保护农民种粮和基层抓粮积极性。推进政策性农业保险扩面，实现水稻、玉米、大豆成本价保险和种植后保险全覆盖。增设大鹅养殖专项补贴，对符合条件的规模养殖场（户）按出栏数量给予补助，将大鹅纳入政策性保险覆盖范围，落实保费财政补贴政策。深化农村综合改革，稳定土地承包关系，推进第二轮土地承包到期后再延长三十年试点，有序开展宅基地、集体经营性建设用地入市改革，盘活农村闲置资源，保障乡村发展用地。壮大新型农村集体经济，深化供销社改革，巩固农村集体产权制度改革成果。</w:t>
      </w:r>
    </w:p>
    <w:p w14:paraId="458D7340">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表10  乡村振兴工程</w:t>
      </w:r>
    </w:p>
    <w:p w14:paraId="4BAED105">
      <w:pPr>
        <w:spacing w:line="48" w:lineRule="auto"/>
        <w:rPr>
          <w:rFonts w:ascii="Arial"/>
          <w:sz w:val="2"/>
          <w:highlight w:val="none"/>
        </w:rPr>
      </w:pP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3125"/>
        <w:gridCol w:w="4500"/>
      </w:tblGrid>
      <w:tr w14:paraId="5892A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679" w:type="dxa"/>
            <w:tcBorders>
              <w:top w:val="single" w:color="000000" w:sz="10" w:space="0"/>
              <w:left w:val="nil"/>
              <w:bottom w:val="single" w:color="000000" w:sz="10" w:space="0"/>
            </w:tcBorders>
            <w:vAlign w:val="top"/>
          </w:tcPr>
          <w:p w14:paraId="44E60CA9">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3125" w:type="dxa"/>
            <w:tcBorders>
              <w:top w:val="single" w:color="000000" w:sz="10" w:space="0"/>
              <w:bottom w:val="single" w:color="000000" w:sz="10" w:space="0"/>
            </w:tcBorders>
            <w:vAlign w:val="top"/>
          </w:tcPr>
          <w:p w14:paraId="07DA876C">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发展目标</w:t>
            </w:r>
          </w:p>
        </w:tc>
        <w:tc>
          <w:tcPr>
            <w:tcW w:w="4500" w:type="dxa"/>
            <w:tcBorders>
              <w:top w:val="single" w:color="000000" w:sz="10" w:space="0"/>
              <w:bottom w:val="single" w:color="000000" w:sz="10" w:space="0"/>
              <w:right w:val="nil"/>
            </w:tcBorders>
            <w:vAlign w:val="top"/>
          </w:tcPr>
          <w:p w14:paraId="7961F68E">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工作任务</w:t>
            </w:r>
          </w:p>
        </w:tc>
      </w:tr>
      <w:tr w14:paraId="00080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jc w:val="center"/>
        </w:trPr>
        <w:tc>
          <w:tcPr>
            <w:tcW w:w="679" w:type="dxa"/>
            <w:tcBorders>
              <w:top w:val="single" w:color="000000" w:sz="10" w:space="0"/>
              <w:left w:val="nil"/>
            </w:tcBorders>
            <w:vAlign w:val="center"/>
          </w:tcPr>
          <w:p w14:paraId="119C6830">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乡村产业</w:t>
            </w:r>
          </w:p>
        </w:tc>
        <w:tc>
          <w:tcPr>
            <w:tcW w:w="3125" w:type="dxa"/>
            <w:tcBorders>
              <w:top w:val="single" w:color="000000" w:sz="10" w:space="0"/>
            </w:tcBorders>
            <w:vAlign w:val="center"/>
          </w:tcPr>
          <w:p w14:paraId="59E97D0D">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形成滚动式管理乡村产业项目库，实施一批高质量乡村振兴产业项目，带动集体经济发展，促进农民增收</w:t>
            </w:r>
          </w:p>
        </w:tc>
        <w:tc>
          <w:tcPr>
            <w:tcW w:w="4500" w:type="dxa"/>
            <w:tcBorders>
              <w:top w:val="single" w:color="000000" w:sz="10" w:space="0"/>
              <w:right w:val="nil"/>
            </w:tcBorders>
            <w:vAlign w:val="center"/>
          </w:tcPr>
          <w:p w14:paraId="206C0512">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谋划食用菌、鹅养殖、鹅肉加工、果蔬种植、果蔬制品加工等领域乡村振兴产业类项目。适度开发涉农领域的文旅项目</w:t>
            </w:r>
          </w:p>
        </w:tc>
      </w:tr>
      <w:tr w14:paraId="04E38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6" w:hRule="atLeast"/>
          <w:jc w:val="center"/>
        </w:trPr>
        <w:tc>
          <w:tcPr>
            <w:tcW w:w="679" w:type="dxa"/>
            <w:tcBorders>
              <w:left w:val="nil"/>
            </w:tcBorders>
            <w:vAlign w:val="center"/>
          </w:tcPr>
          <w:p w14:paraId="6D8F09A7">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乡村建设</w:t>
            </w:r>
          </w:p>
        </w:tc>
        <w:tc>
          <w:tcPr>
            <w:tcW w:w="3125" w:type="dxa"/>
            <w:vAlign w:val="center"/>
          </w:tcPr>
          <w:p w14:paraId="761FE7B1">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农村村内道路硬化率达100%，生活污水治理率突破85%，生活垃圾无害化处理率稳定在95%以上，卫生厕所普及率达95%，农村公共服务设施配套率达95%，村民生活便利性与幸福感显著提升</w:t>
            </w:r>
          </w:p>
        </w:tc>
        <w:tc>
          <w:tcPr>
            <w:tcW w:w="4500" w:type="dxa"/>
            <w:tcBorders>
              <w:right w:val="nil"/>
            </w:tcBorders>
            <w:vAlign w:val="center"/>
          </w:tcPr>
          <w:p w14:paraId="5E9FC899">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推动基础设施向农村延伸。开展农村公路及桥梁隧道风险隐患排查和整治、巩固提升农村电力保障水平，加强农村分布式可再生能源开发利用，加强残疾人保障和康复救助</w:t>
            </w:r>
          </w:p>
        </w:tc>
      </w:tr>
      <w:tr w14:paraId="69ACF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jc w:val="center"/>
        </w:trPr>
        <w:tc>
          <w:tcPr>
            <w:tcW w:w="679" w:type="dxa"/>
            <w:tcBorders>
              <w:left w:val="nil"/>
              <w:bottom w:val="single" w:color="000000" w:sz="10" w:space="0"/>
            </w:tcBorders>
            <w:vAlign w:val="center"/>
          </w:tcPr>
          <w:p w14:paraId="6C09AF14">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乡村治理</w:t>
            </w:r>
          </w:p>
        </w:tc>
        <w:tc>
          <w:tcPr>
            <w:tcW w:w="3125" w:type="dxa"/>
            <w:tcBorders>
              <w:bottom w:val="single" w:color="000000" w:sz="10" w:space="0"/>
            </w:tcBorders>
            <w:vAlign w:val="center"/>
          </w:tcPr>
          <w:p w14:paraId="02E38F27">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全面提升农村生态环境治理成效</w:t>
            </w:r>
          </w:p>
        </w:tc>
        <w:tc>
          <w:tcPr>
            <w:tcW w:w="4500" w:type="dxa"/>
            <w:tcBorders>
              <w:bottom w:val="single" w:color="000000" w:sz="10" w:space="0"/>
              <w:right w:val="nil"/>
            </w:tcBorders>
            <w:vAlign w:val="center"/>
          </w:tcPr>
          <w:p w14:paraId="42257C40">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实施土壤源头管控行动，提高秸秆“五化”使用比例，加大对规模养殖场的监管力度</w:t>
            </w:r>
          </w:p>
        </w:tc>
      </w:tr>
    </w:tbl>
    <w:p w14:paraId="3647C7C4">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pacing w:val="9"/>
          <w:sz w:val="32"/>
          <w:szCs w:val="32"/>
          <w:highlight w:val="none"/>
        </w:rPr>
      </w:pPr>
    </w:p>
    <w:p w14:paraId="50E035CD">
      <w:pPr>
        <w:pStyle w:val="5"/>
        <w:ind w:left="0" w:leftChars="0" w:firstLine="0" w:firstLineChars="0"/>
        <w:rPr>
          <w:rFonts w:hint="eastAsia"/>
          <w:highlight w:val="none"/>
        </w:rPr>
      </w:pPr>
    </w:p>
    <w:p w14:paraId="02C69A2C">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64" w:name="_Toc18055"/>
      <w:r>
        <w:rPr>
          <w:rFonts w:hint="eastAsia" w:ascii="方正小标宋简体" w:hAnsi="方正小标宋简体" w:eastAsia="方正小标宋简体" w:cs="方正小标宋简体"/>
          <w:b w:val="0"/>
          <w:bCs/>
          <w:sz w:val="36"/>
          <w:szCs w:val="36"/>
          <w:highlight w:val="none"/>
          <w:lang w:val="en-US" w:eastAsia="zh-CN"/>
        </w:rPr>
        <w:t>第五章  畅通经济循环体系 激发消费投资双重活力</w:t>
      </w:r>
      <w:bookmarkEnd w:id="64"/>
    </w:p>
    <w:p w14:paraId="72F486F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释放内需、扩大投资、畅通经济循环通道等三大路径协同发力，服务和融入国内大循环，推动贸易提质、市场畅通，为高质量发展增添新动能。</w:t>
      </w:r>
    </w:p>
    <w:p w14:paraId="300F4CD7">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65" w:name="_Toc28409"/>
      <w:r>
        <w:rPr>
          <w:rFonts w:hint="eastAsia"/>
          <w:b w:val="0"/>
          <w:bCs/>
          <w:highlight w:val="none"/>
          <w:lang w:val="en-US" w:eastAsia="zh-CN"/>
        </w:rPr>
        <w:t>第一节 释放消费潜力</w:t>
      </w:r>
      <w:bookmarkEnd w:id="65"/>
    </w:p>
    <w:p w14:paraId="477A6BC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贯彻新发展理念，加快构建新发展格局，协同发力、远近兼顾，综合施策释放消费潜力，促进消费潜能逐步释放。聚焦释放居民消费潜力，健全促消费工作机制，顺应消费趋势，以提升便利性和体验感为重点，围绕活跃大众消费、稳定大宗消费、提振餐饮消费、培育新型消费，优化消费环境。</w:t>
      </w:r>
    </w:p>
    <w:p w14:paraId="015BB97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活跃消费市场。</w:t>
      </w:r>
      <w:r>
        <w:rPr>
          <w:rFonts w:hint="eastAsia" w:ascii="仿宋_GB2312" w:hAnsi="仿宋_GB2312" w:eastAsia="仿宋_GB2312" w:cs="仿宋_GB2312"/>
          <w:spacing w:val="7"/>
          <w:sz w:val="32"/>
          <w:szCs w:val="32"/>
          <w:highlight w:val="none"/>
          <w:lang w:val="en-US" w:eastAsia="zh-CN"/>
        </w:rPr>
        <w:t>精心组织参与全市“购物节”“美食节”等各类促消费活动。鼓励商家开展形式多样的打折让利促销。支持发展社区商业和“夜经济”，满足居民便利消费和夜间消费需求。引导商贸企业提供适合农村市场的商品和服务。</w:t>
      </w:r>
    </w:p>
    <w:p w14:paraId="3A67832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创新消费业态和模式。</w:t>
      </w:r>
      <w:r>
        <w:rPr>
          <w:rFonts w:hint="eastAsia" w:ascii="仿宋_GB2312" w:hAnsi="仿宋_GB2312" w:eastAsia="仿宋_GB2312" w:cs="仿宋_GB2312"/>
          <w:spacing w:val="7"/>
          <w:sz w:val="32"/>
          <w:szCs w:val="32"/>
          <w:highlight w:val="none"/>
          <w:lang w:val="en-US" w:eastAsia="zh-CN"/>
        </w:rPr>
        <w:t>支持现有商业设施优化业态组合，引入体验式、服务型消费元素。鼓励引入品牌首店、新品首发。结合区域商业服务功能，与中心城区共同稳定和扩大汽车、家电、家居等大宗消费。支持餐饮老字号传承发展，鼓励品牌餐饮连锁化经营，举办特色美食推广活动。</w:t>
      </w:r>
    </w:p>
    <w:p w14:paraId="00A7C07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促进新型消费。</w:t>
      </w:r>
      <w:r>
        <w:rPr>
          <w:rFonts w:hint="eastAsia" w:ascii="仿宋_GB2312" w:hAnsi="仿宋_GB2312" w:eastAsia="仿宋_GB2312" w:cs="仿宋_GB2312"/>
          <w:spacing w:val="7"/>
          <w:sz w:val="32"/>
          <w:szCs w:val="32"/>
          <w:highlight w:val="none"/>
          <w:lang w:val="en-US" w:eastAsia="zh-CN"/>
        </w:rPr>
        <w:t>加快线上线下消费有机融合，扩大升级信息消费，培育壮大智慧产品和智慧零售、智慧养老、智慧家政、“互联网+医疗健康”“互联网+托育”等消费新业态。加强商业、文化、旅游、健康、交通等消费跨界融合，积极拓展沉浸式、体验式、互动式消费新场景。有序引导网络直播等规范发展。深入挖掘电子商务对实体经济发展带动作用。支持商贸企业运用数字化技术提升运营效率和消费体验。鼓励发展线上线下融合（O2O）、社区团购、无接触配送等新模式。引导发展绿色消费、健康消费。</w:t>
      </w:r>
    </w:p>
    <w:p w14:paraId="5025B32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促进健康养老等服务消费。</w:t>
      </w:r>
      <w:r>
        <w:rPr>
          <w:rFonts w:hint="eastAsia" w:ascii="仿宋_GB2312" w:hAnsi="仿宋_GB2312" w:eastAsia="仿宋_GB2312" w:cs="仿宋_GB2312"/>
          <w:spacing w:val="7"/>
          <w:sz w:val="32"/>
          <w:szCs w:val="32"/>
          <w:highlight w:val="none"/>
          <w:lang w:val="en-US" w:eastAsia="zh-CN"/>
        </w:rPr>
        <w:t>围绕“银发经济”，深入发展多层次多样化医疗健康服务，积极发展中医医疗和养生保健等服务，促进医疗健康消费和防护用品消费提质升级。实施智慧助老行动，加快推进适老化改造和智能化产品服务功能，发展适合老年人消费的旅游、养生、健康咨询、生活照护、慢性病管理等产品和服务。</w:t>
      </w:r>
    </w:p>
    <w:p w14:paraId="039A129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拓展文化和旅游消费。</w:t>
      </w:r>
      <w:r>
        <w:rPr>
          <w:rFonts w:hint="eastAsia" w:ascii="仿宋_GB2312" w:hAnsi="仿宋_GB2312" w:eastAsia="仿宋_GB2312" w:cs="仿宋_GB2312"/>
          <w:spacing w:val="7"/>
          <w:sz w:val="32"/>
          <w:szCs w:val="32"/>
          <w:highlight w:val="none"/>
          <w:lang w:val="en-US" w:eastAsia="en-US"/>
        </w:rPr>
        <w:t>依托</w:t>
      </w:r>
      <w:r>
        <w:rPr>
          <w:rFonts w:hint="eastAsia" w:ascii="仿宋_GB2312" w:hAnsi="仿宋_GB2312" w:eastAsia="仿宋_GB2312" w:cs="仿宋_GB2312"/>
          <w:spacing w:val="7"/>
          <w:sz w:val="32"/>
          <w:szCs w:val="32"/>
          <w:highlight w:val="none"/>
          <w:lang w:val="en-US" w:eastAsia="zh-CN"/>
        </w:rPr>
        <w:t>酿清谷酒庄、省级乡村旅游示范点绿萍山庄，谋划“宝山一日游”旅游景点纳入全市观光旅游主线。通过</w:t>
      </w:r>
      <w:r>
        <w:rPr>
          <w:rFonts w:hint="eastAsia" w:ascii="仿宋_GB2312" w:hAnsi="仿宋_GB2312" w:eastAsia="仿宋_GB2312" w:cs="仿宋_GB2312"/>
          <w:spacing w:val="7"/>
          <w:sz w:val="32"/>
          <w:szCs w:val="32"/>
          <w:highlight w:val="none"/>
          <w:lang w:val="en-US" w:eastAsia="en-US"/>
        </w:rPr>
        <w:t>“旅游+”模式，推动全区从景点旅游走向全域旅游，</w:t>
      </w:r>
      <w:r>
        <w:rPr>
          <w:rFonts w:hint="eastAsia" w:ascii="仿宋_GB2312" w:hAnsi="仿宋_GB2312" w:eastAsia="仿宋_GB2312" w:cs="仿宋_GB2312"/>
          <w:spacing w:val="7"/>
          <w:sz w:val="32"/>
          <w:szCs w:val="32"/>
          <w:highlight w:val="none"/>
          <w:lang w:val="en-US" w:eastAsia="zh-CN"/>
        </w:rPr>
        <w:t>新建一批以果蔬棚室为基础的农业采摘</w:t>
      </w:r>
      <w:r>
        <w:rPr>
          <w:rFonts w:hint="eastAsia" w:ascii="仿宋_GB2312" w:hAnsi="仿宋_GB2312" w:eastAsia="仿宋_GB2312" w:cs="仿宋_GB2312"/>
          <w:spacing w:val="7"/>
          <w:sz w:val="32"/>
          <w:szCs w:val="32"/>
          <w:highlight w:val="none"/>
          <w:lang w:val="en-US" w:eastAsia="en-US"/>
        </w:rPr>
        <w:t>基地</w:t>
      </w:r>
      <w:r>
        <w:rPr>
          <w:rFonts w:hint="eastAsia" w:ascii="仿宋_GB2312" w:hAnsi="仿宋_GB2312" w:eastAsia="仿宋_GB2312" w:cs="仿宋_GB2312"/>
          <w:spacing w:val="7"/>
          <w:sz w:val="32"/>
          <w:szCs w:val="32"/>
          <w:highlight w:val="none"/>
          <w:lang w:val="en-US" w:eastAsia="zh-CN"/>
        </w:rPr>
        <w:t>项目</w:t>
      </w:r>
      <w:r>
        <w:rPr>
          <w:rFonts w:hint="eastAsia" w:ascii="仿宋_GB2312" w:hAnsi="仿宋_GB2312" w:eastAsia="仿宋_GB2312" w:cs="仿宋_GB2312"/>
          <w:spacing w:val="7"/>
          <w:sz w:val="32"/>
          <w:szCs w:val="32"/>
          <w:highlight w:val="none"/>
          <w:lang w:val="en-US" w:eastAsia="en-US"/>
        </w:rPr>
        <w:t>，打造采摘、娱乐、住宿、餐饮为一体的近郊旅游新景点。因地制宜，因时制宜</w:t>
      </w:r>
      <w:r>
        <w:rPr>
          <w:rFonts w:hint="eastAsia" w:ascii="仿宋_GB2312" w:hAnsi="仿宋_GB2312" w:eastAsia="仿宋_GB2312" w:cs="仿宋_GB2312"/>
          <w:spacing w:val="7"/>
          <w:sz w:val="32"/>
          <w:szCs w:val="32"/>
          <w:highlight w:val="none"/>
          <w:lang w:val="en-US" w:eastAsia="zh-CN"/>
        </w:rPr>
        <w:t>不断丰富</w:t>
      </w:r>
      <w:r>
        <w:rPr>
          <w:rFonts w:hint="eastAsia" w:ascii="仿宋_GB2312" w:hAnsi="仿宋_GB2312" w:eastAsia="仿宋_GB2312" w:cs="仿宋_GB2312"/>
          <w:spacing w:val="7"/>
          <w:sz w:val="32"/>
          <w:szCs w:val="32"/>
          <w:highlight w:val="none"/>
          <w:lang w:val="en-US" w:eastAsia="en-US"/>
        </w:rPr>
        <w:t>采摘园果蔬品种，适度开发“家庭农场”旅游资源，逐步形成以采摘为主，以农业</w:t>
      </w:r>
      <w:r>
        <w:rPr>
          <w:rFonts w:hint="eastAsia" w:ascii="仿宋_GB2312" w:hAnsi="仿宋_GB2312" w:eastAsia="仿宋_GB2312" w:cs="仿宋_GB2312"/>
          <w:spacing w:val="7"/>
          <w:sz w:val="32"/>
          <w:szCs w:val="32"/>
          <w:highlight w:val="none"/>
          <w:lang w:val="en-US" w:eastAsia="zh-CN"/>
        </w:rPr>
        <w:t>种植养殖</w:t>
      </w:r>
      <w:r>
        <w:rPr>
          <w:rFonts w:hint="eastAsia" w:ascii="仿宋_GB2312" w:hAnsi="仿宋_GB2312" w:eastAsia="仿宋_GB2312" w:cs="仿宋_GB2312"/>
          <w:spacing w:val="7"/>
          <w:sz w:val="32"/>
          <w:szCs w:val="32"/>
          <w:highlight w:val="none"/>
          <w:lang w:val="en-US" w:eastAsia="en-US"/>
        </w:rPr>
        <w:t>体验为辅的综合型旅游景点，通过旅游产业壮大带动村集体经济快速发展。</w:t>
      </w:r>
    </w:p>
    <w:p w14:paraId="4297E50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pacing w:val="7"/>
          <w:sz w:val="32"/>
          <w:szCs w:val="32"/>
          <w:highlight w:val="none"/>
          <w:lang w:val="en-US" w:eastAsia="en-US"/>
        </w:rPr>
        <w:t>大力发展绿色消费。</w:t>
      </w:r>
      <w:r>
        <w:rPr>
          <w:rFonts w:hint="eastAsia" w:ascii="仿宋_GB2312" w:hAnsi="仿宋_GB2312" w:eastAsia="仿宋_GB2312" w:cs="仿宋_GB2312"/>
          <w:spacing w:val="7"/>
          <w:sz w:val="32"/>
          <w:szCs w:val="32"/>
          <w:highlight w:val="none"/>
          <w:lang w:val="en-US" w:eastAsia="en-US"/>
        </w:rPr>
        <w:t>增强全民节约意识，反对奢侈浪费和过度消费，形成简约适度、绿色低碳的生活方式和消费模式。推广绿色有机食品、农产品。加快构建废旧物资循环利用体系，推动汽车、家电、家具、电池、电子产品等回收利用，推进商品包装和流通环节包装绿色化、减量化、循环化。广泛开展节约型机关、绿色家庭、绿色社区、绿色出行等创建活动。</w:t>
      </w:r>
      <w:r>
        <w:rPr>
          <w:rFonts w:hint="eastAsia" w:ascii="仿宋_GB2312" w:hAnsi="仿宋_GB2312" w:eastAsia="仿宋_GB2312" w:cs="仿宋_GB2312"/>
          <w:spacing w:val="7"/>
          <w:sz w:val="32"/>
          <w:szCs w:val="32"/>
          <w:highlight w:val="none"/>
          <w:lang w:val="en-US" w:eastAsia="zh-CN"/>
        </w:rPr>
        <w:t>多</w:t>
      </w:r>
      <w:r>
        <w:rPr>
          <w:rFonts w:hint="eastAsia" w:ascii="仿宋_GB2312" w:hAnsi="仿宋_GB2312" w:eastAsia="仿宋_GB2312" w:cs="仿宋_GB2312"/>
          <w:spacing w:val="7"/>
          <w:sz w:val="32"/>
          <w:szCs w:val="32"/>
          <w:highlight w:val="none"/>
          <w:lang w:val="en-US" w:eastAsia="en-US"/>
        </w:rPr>
        <w:t>种方式并存，通过优化产业结构和提升就业质量提高劳动报酬比重。完善工资指导线，为重点群体建立工资合理增长机制，推进技能提升行动拓宽低收入群体增收渠道。鼓励企业推行“保底收益+按股分红”模式，扩大中等收入群体。</w:t>
      </w:r>
    </w:p>
    <w:p w14:paraId="0FD75827">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表11  消费潜力提升工程</w:t>
      </w:r>
    </w:p>
    <w:p w14:paraId="45874531">
      <w:pPr>
        <w:spacing w:line="39" w:lineRule="auto"/>
        <w:rPr>
          <w:rFonts w:ascii="Arial"/>
          <w:sz w:val="2"/>
          <w:highlight w:val="none"/>
        </w:rPr>
      </w:pPr>
    </w:p>
    <w:tbl>
      <w:tblPr>
        <w:tblStyle w:val="13"/>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1"/>
        <w:gridCol w:w="7323"/>
      </w:tblGrid>
      <w:tr w14:paraId="4691B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81" w:type="dxa"/>
            <w:tcBorders>
              <w:top w:val="single" w:color="000000" w:sz="10" w:space="0"/>
              <w:left w:val="nil"/>
              <w:bottom w:val="single" w:color="000000" w:sz="10" w:space="0"/>
            </w:tcBorders>
            <w:vAlign w:val="top"/>
          </w:tcPr>
          <w:p w14:paraId="5318E2B4">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7323" w:type="dxa"/>
            <w:tcBorders>
              <w:top w:val="single" w:color="000000" w:sz="10" w:space="0"/>
              <w:bottom w:val="single" w:color="000000" w:sz="10" w:space="0"/>
              <w:right w:val="nil"/>
            </w:tcBorders>
            <w:vAlign w:val="top"/>
          </w:tcPr>
          <w:p w14:paraId="533D61D9">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工作方向</w:t>
            </w:r>
          </w:p>
        </w:tc>
      </w:tr>
      <w:tr w14:paraId="39D67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981" w:type="dxa"/>
            <w:tcBorders>
              <w:top w:val="single" w:color="000000" w:sz="10" w:space="0"/>
              <w:left w:val="nil"/>
            </w:tcBorders>
            <w:vAlign w:val="center"/>
          </w:tcPr>
          <w:p w14:paraId="2FD38B70">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活跃消费市场</w:t>
            </w:r>
          </w:p>
        </w:tc>
        <w:tc>
          <w:tcPr>
            <w:tcW w:w="7323" w:type="dxa"/>
            <w:tcBorders>
              <w:top w:val="single" w:color="000000" w:sz="10" w:space="0"/>
              <w:right w:val="nil"/>
            </w:tcBorders>
            <w:vAlign w:val="center"/>
          </w:tcPr>
          <w:p w14:paraId="22E638D4">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组织参与全市“购物节”“美食节”“汽车展”等各类促消费活动。开展形式多样的打折让利促销。发展社区商业和“夜经济”，满足居民便利消费和夜间消费需求</w:t>
            </w:r>
          </w:p>
        </w:tc>
      </w:tr>
      <w:tr w14:paraId="5ACEF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trPr>
        <w:tc>
          <w:tcPr>
            <w:tcW w:w="981" w:type="dxa"/>
            <w:tcBorders>
              <w:left w:val="nil"/>
            </w:tcBorders>
            <w:vAlign w:val="center"/>
          </w:tcPr>
          <w:p w14:paraId="24BE32C0">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创新消费业态和模式</w:t>
            </w:r>
          </w:p>
        </w:tc>
        <w:tc>
          <w:tcPr>
            <w:tcW w:w="7323" w:type="dxa"/>
            <w:tcBorders>
              <w:right w:val="nil"/>
            </w:tcBorders>
            <w:vAlign w:val="center"/>
          </w:tcPr>
          <w:p w14:paraId="61888F42">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支持餐饮老字号传承发展，鼓励品牌餐饮连锁化经营，举办特色美食推广活动。结合区域商业服务功能，与中心城区共同稳定和扩大汽车、家电、家居等大宗消费</w:t>
            </w:r>
          </w:p>
        </w:tc>
      </w:tr>
      <w:tr w14:paraId="373A9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981" w:type="dxa"/>
            <w:tcBorders>
              <w:left w:val="nil"/>
            </w:tcBorders>
            <w:vAlign w:val="center"/>
          </w:tcPr>
          <w:p w14:paraId="09C5FB89">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促进新型消费</w:t>
            </w:r>
          </w:p>
        </w:tc>
        <w:tc>
          <w:tcPr>
            <w:tcW w:w="7323" w:type="dxa"/>
            <w:tcBorders>
              <w:right w:val="nil"/>
            </w:tcBorders>
            <w:vAlign w:val="center"/>
          </w:tcPr>
          <w:p w14:paraId="485F81F9">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挖掘电子商务对实体经济发展带动作用。培育壮大智慧产品和智慧零售、智慧养老、智慧家政、“互联网+医疗健康”“互联网+托育”等消费新业态</w:t>
            </w:r>
          </w:p>
        </w:tc>
      </w:tr>
      <w:tr w14:paraId="1FFDD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981" w:type="dxa"/>
            <w:tcBorders>
              <w:left w:val="nil"/>
            </w:tcBorders>
            <w:vAlign w:val="center"/>
          </w:tcPr>
          <w:p w14:paraId="5B4D5CF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促进养老消费</w:t>
            </w:r>
          </w:p>
        </w:tc>
        <w:tc>
          <w:tcPr>
            <w:tcW w:w="7323" w:type="dxa"/>
            <w:tcBorders>
              <w:right w:val="nil"/>
            </w:tcBorders>
            <w:vAlign w:val="center"/>
          </w:tcPr>
          <w:p w14:paraId="09F61C35">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紧盯“银发经济”深入发展多层次养老服务。促进老年人消费市场健康快速发展</w:t>
            </w:r>
          </w:p>
        </w:tc>
      </w:tr>
      <w:tr w14:paraId="736E2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981" w:type="dxa"/>
            <w:tcBorders>
              <w:left w:val="nil"/>
            </w:tcBorders>
            <w:vAlign w:val="center"/>
          </w:tcPr>
          <w:p w14:paraId="43966DB4">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文化旅游消费</w:t>
            </w:r>
          </w:p>
        </w:tc>
        <w:tc>
          <w:tcPr>
            <w:tcW w:w="7323" w:type="dxa"/>
            <w:tcBorders>
              <w:right w:val="nil"/>
            </w:tcBorders>
            <w:vAlign w:val="center"/>
          </w:tcPr>
          <w:p w14:paraId="28C3BB91">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en-US"/>
              </w:rPr>
              <w:t>依托</w:t>
            </w:r>
            <w:r>
              <w:rPr>
                <w:rFonts w:hint="eastAsia" w:ascii="仿宋_GB2312" w:hAnsi="仿宋_GB2312" w:eastAsia="仿宋_GB2312" w:cs="仿宋_GB2312"/>
                <w:spacing w:val="5"/>
                <w:sz w:val="24"/>
                <w:szCs w:val="24"/>
                <w:highlight w:val="none"/>
                <w:lang w:val="en-US" w:eastAsia="zh-CN"/>
              </w:rPr>
              <w:t>酿清谷酒庄、省级乡村旅游示范点绿萍山庄，谋划“宝山一日游”旅游景点纳入全市观光旅游主线。</w:t>
            </w:r>
            <w:r>
              <w:rPr>
                <w:rFonts w:hint="eastAsia" w:ascii="仿宋_GB2312" w:hAnsi="仿宋_GB2312" w:eastAsia="仿宋_GB2312" w:cs="仿宋_GB2312"/>
                <w:spacing w:val="5"/>
                <w:sz w:val="24"/>
                <w:szCs w:val="24"/>
                <w:highlight w:val="none"/>
                <w:lang w:val="en-US" w:eastAsia="en-US"/>
              </w:rPr>
              <w:t>适度开发“家庭农场”旅游资源，</w:t>
            </w:r>
            <w:r>
              <w:rPr>
                <w:rFonts w:hint="eastAsia" w:ascii="仿宋_GB2312" w:hAnsi="仿宋_GB2312" w:eastAsia="仿宋_GB2312" w:cs="仿宋_GB2312"/>
                <w:spacing w:val="5"/>
                <w:sz w:val="24"/>
                <w:szCs w:val="24"/>
                <w:highlight w:val="none"/>
                <w:lang w:val="en-US" w:eastAsia="zh-CN"/>
              </w:rPr>
              <w:t>新建一批以果蔬棚室为基础的农业采摘</w:t>
            </w:r>
            <w:r>
              <w:rPr>
                <w:rFonts w:hint="eastAsia" w:ascii="仿宋_GB2312" w:hAnsi="仿宋_GB2312" w:eastAsia="仿宋_GB2312" w:cs="仿宋_GB2312"/>
                <w:spacing w:val="5"/>
                <w:sz w:val="24"/>
                <w:szCs w:val="24"/>
                <w:highlight w:val="none"/>
                <w:lang w:val="en-US" w:eastAsia="en-US"/>
              </w:rPr>
              <w:t>基地</w:t>
            </w:r>
            <w:r>
              <w:rPr>
                <w:rFonts w:hint="eastAsia" w:ascii="仿宋_GB2312" w:hAnsi="仿宋_GB2312" w:eastAsia="仿宋_GB2312" w:cs="仿宋_GB2312"/>
                <w:spacing w:val="5"/>
                <w:sz w:val="24"/>
                <w:szCs w:val="24"/>
                <w:highlight w:val="none"/>
                <w:lang w:val="en-US" w:eastAsia="zh-CN"/>
              </w:rPr>
              <w:t>项目</w:t>
            </w:r>
          </w:p>
        </w:tc>
      </w:tr>
      <w:tr w14:paraId="46F1A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1" w:hRule="atLeast"/>
        </w:trPr>
        <w:tc>
          <w:tcPr>
            <w:tcW w:w="981" w:type="dxa"/>
            <w:tcBorders>
              <w:left w:val="nil"/>
              <w:bottom w:val="single" w:color="000000" w:sz="10" w:space="0"/>
            </w:tcBorders>
            <w:vAlign w:val="center"/>
          </w:tcPr>
          <w:p w14:paraId="41A3117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发展绿色消费</w:t>
            </w:r>
          </w:p>
        </w:tc>
        <w:tc>
          <w:tcPr>
            <w:tcW w:w="7323" w:type="dxa"/>
            <w:tcBorders>
              <w:bottom w:val="single" w:color="000000" w:sz="10" w:space="0"/>
              <w:right w:val="nil"/>
            </w:tcBorders>
            <w:vAlign w:val="center"/>
          </w:tcPr>
          <w:p w14:paraId="0AE59D04">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en-US"/>
              </w:rPr>
              <w:t>构建废旧物资循环利用体系，推动汽车、家电、家具、电池、电子产品等回收利用</w:t>
            </w:r>
          </w:p>
        </w:tc>
      </w:tr>
    </w:tbl>
    <w:p w14:paraId="383DF5A7">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3" w:firstLineChars="200"/>
        <w:jc w:val="center"/>
        <w:textAlignment w:val="baseline"/>
        <w:outlineLvl w:val="9"/>
        <w:rPr>
          <w:rFonts w:hint="eastAsia" w:ascii="Arial" w:hAnsi="Arial" w:eastAsia="黑体" w:cs="Arial"/>
          <w:b/>
          <w:snapToGrid w:val="0"/>
          <w:color w:val="000000"/>
          <w:kern w:val="0"/>
          <w:sz w:val="32"/>
          <w:szCs w:val="21"/>
          <w:highlight w:val="none"/>
          <w:lang w:val="en-US" w:eastAsia="zh-CN" w:bidi="ar-SA"/>
        </w:rPr>
      </w:pPr>
    </w:p>
    <w:p w14:paraId="35C80808">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66" w:name="_Toc6197"/>
      <w:r>
        <w:rPr>
          <w:rFonts w:hint="eastAsia"/>
          <w:b w:val="0"/>
          <w:bCs/>
          <w:highlight w:val="none"/>
          <w:lang w:val="en-US" w:eastAsia="zh-CN"/>
        </w:rPr>
        <w:t>第二节 扩大有效投资</w:t>
      </w:r>
      <w:bookmarkEnd w:id="66"/>
    </w:p>
    <w:p w14:paraId="69DC875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围绕增强区域发展动能，将招商引资作为商务工作重中之重，聚焦重点方向，创新方式方法，提升项目质量，优化投资服务。</w:t>
      </w:r>
      <w:r>
        <w:rPr>
          <w:rFonts w:hint="eastAsia" w:ascii="仿宋_GB2312" w:hAnsi="仿宋_GB2312" w:eastAsia="仿宋_GB2312" w:cs="仿宋_GB2312"/>
          <w:spacing w:val="7"/>
          <w:sz w:val="32"/>
          <w:szCs w:val="32"/>
          <w:highlight w:val="none"/>
          <w:lang w:val="en-US" w:eastAsia="en-US"/>
        </w:rPr>
        <w:t>做好基础设施建设的协调与服务工作，激发社会投资活力，促进社会资本重点项目落地实施。</w:t>
      </w:r>
      <w:r>
        <w:rPr>
          <w:rFonts w:hint="eastAsia" w:ascii="仿宋_GB2312" w:hAnsi="仿宋_GB2312" w:eastAsia="仿宋_GB2312" w:cs="仿宋_GB2312"/>
          <w:spacing w:val="7"/>
          <w:sz w:val="32"/>
          <w:szCs w:val="32"/>
          <w:highlight w:val="none"/>
          <w:lang w:val="en-US" w:eastAsia="zh-CN"/>
        </w:rPr>
        <w:t>不断</w:t>
      </w:r>
      <w:r>
        <w:rPr>
          <w:rFonts w:hint="eastAsia" w:ascii="仿宋_GB2312" w:hAnsi="仿宋_GB2312" w:eastAsia="仿宋_GB2312" w:cs="仿宋_GB2312"/>
          <w:spacing w:val="7"/>
          <w:sz w:val="32"/>
          <w:szCs w:val="32"/>
          <w:highlight w:val="none"/>
          <w:lang w:val="en-US" w:eastAsia="en-US"/>
        </w:rPr>
        <w:t>优化供给结构、推动高质量发展</w:t>
      </w:r>
      <w:r>
        <w:rPr>
          <w:rFonts w:hint="eastAsia" w:ascii="仿宋_GB2312" w:hAnsi="仿宋_GB2312" w:eastAsia="仿宋_GB2312" w:cs="仿宋_GB2312"/>
          <w:spacing w:val="7"/>
          <w:sz w:val="32"/>
          <w:szCs w:val="32"/>
          <w:highlight w:val="none"/>
          <w:lang w:val="en-US" w:eastAsia="zh-CN"/>
        </w:rPr>
        <w:t>。</w:t>
      </w:r>
    </w:p>
    <w:p w14:paraId="19BC41F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聚焦招商引资。</w:t>
      </w:r>
      <w:r>
        <w:rPr>
          <w:rFonts w:hint="eastAsia" w:ascii="仿宋_GB2312" w:hAnsi="仿宋_GB2312" w:eastAsia="仿宋_GB2312" w:cs="仿宋_GB2312"/>
          <w:spacing w:val="7"/>
          <w:sz w:val="32"/>
          <w:szCs w:val="32"/>
          <w:highlight w:val="none"/>
          <w:lang w:val="en-US" w:eastAsia="zh-CN"/>
        </w:rPr>
        <w:t>紧密对接市“四大基地”经济和社会发展目标，立足宝山实际，重点聚焦新材料产业配套，吸引石墨深加工、新材料应用等领域的配套服务企业、贸易企业。加大绿色食品加工与商贸流通、冷链物流等项目招引力度。吸引区域总部、商贸物流、专业服务、电子商务等投资主体落地。盘活提升存量资源使用效率，围绕闲置厂房、楼宇等载体进行招商。积极对接行业协会、商会、专业机构，用好省市招商活动平台（哈洽会、进博会），提升招商引资质效，实施招商引资提效行动，创新招商方式，拓展招商领域，强化与各类机构合作，鼓励现有企业增资。对接重大区域战略，积极探索“飞地经济”模式，加强与长三角、粤港澳大湾区等重点地区合作，借助经贸平台开展招商，承接京津冀产业外溢。</w:t>
      </w:r>
    </w:p>
    <w:p w14:paraId="2470486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聚焦重点领域。</w:t>
      </w:r>
      <w:r>
        <w:rPr>
          <w:rFonts w:hint="eastAsia" w:ascii="仿宋_GB2312" w:hAnsi="仿宋_GB2312" w:eastAsia="仿宋_GB2312" w:cs="仿宋_GB2312"/>
          <w:spacing w:val="7"/>
          <w:sz w:val="32"/>
          <w:szCs w:val="32"/>
          <w:highlight w:val="none"/>
          <w:lang w:val="en-US" w:eastAsia="zh-CN"/>
        </w:rPr>
        <w:t>推进水利、交通等基础设施建设，加快城区老化更新改造和排水设施建设，加强新型基础设施建设。加快产业项目建设，提升制造业核心竞争力，推进关键核心工艺改造。实施煤电节能降碳改造工程，推进化工等行业节能降碳改造。加快社会民生领域补短板建设。结合人口结构实际，推进城镇老旧小区改造，加强卫生、教育、养老、托育等领域提质建设。</w:t>
      </w:r>
    </w:p>
    <w:p w14:paraId="7E30F56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强化要素保障。加大</w:t>
      </w:r>
      <w:r>
        <w:rPr>
          <w:rFonts w:hint="eastAsia" w:ascii="仿宋_GB2312" w:hAnsi="仿宋_GB2312" w:eastAsia="仿宋_GB2312" w:cs="仿宋_GB2312"/>
          <w:spacing w:val="7"/>
          <w:sz w:val="32"/>
          <w:szCs w:val="32"/>
          <w:highlight w:val="none"/>
          <w:lang w:val="en-US" w:eastAsia="zh-CN"/>
        </w:rPr>
        <w:t>资金保障力度，紧盯中央预算内投资、超长期国债着力支持国家重大战略和重点项目建设，债券项目等政策性资金杠杆撬动作用，加快项目资金申请力度，在建项目建设进度，尽快形成实物工作量。加强用地、用能等要素保障，做好国家重大项目用地保障。落实招商引资项目全生命周期服务机制和领导包联制度。畅通企业诉求反映和解决渠道，切实解决项目落地和经营中的困难。建立招商项目评估机制，提高签约项目落地率和资金到位率。</w:t>
      </w:r>
    </w:p>
    <w:p w14:paraId="74DA85A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加快项目实施。</w:t>
      </w:r>
      <w:r>
        <w:rPr>
          <w:rFonts w:hint="eastAsia" w:ascii="仿宋_GB2312" w:hAnsi="仿宋_GB2312" w:eastAsia="仿宋_GB2312" w:cs="仿宋_GB2312"/>
          <w:spacing w:val="7"/>
          <w:sz w:val="32"/>
          <w:szCs w:val="32"/>
          <w:highlight w:val="none"/>
          <w:lang w:val="en-US" w:eastAsia="zh-CN"/>
        </w:rPr>
        <w:t>扎实做好项目前期工作，加快履行项目各项审批手续。依法依规履行项目建设程序，杜绝“未批先建”“边建边批”。加快项目开工建设，督促做好征地拆迁、市政配套等开工前准备工作，推动尽早开工，协调保障用工和原材料供应，推动项目建设顺利实施，尽快形成实物工作量。</w:t>
      </w:r>
    </w:p>
    <w:p w14:paraId="0335237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激发投资活力。</w:t>
      </w:r>
      <w:r>
        <w:rPr>
          <w:rFonts w:hint="eastAsia" w:ascii="仿宋_GB2312" w:hAnsi="仿宋_GB2312" w:eastAsia="仿宋_GB2312" w:cs="仿宋_GB2312"/>
          <w:spacing w:val="7"/>
          <w:sz w:val="32"/>
          <w:szCs w:val="32"/>
          <w:highlight w:val="none"/>
          <w:lang w:val="en-US" w:eastAsia="zh-CN"/>
        </w:rPr>
        <w:t>激发市场主体活力、扩大有效投资空间广阔。落实和完善社会资本投融资合作对接机制，促进社会资本重点项目落地实施。积极推动存量资产盘活，形成存量资产和新增投资的良性循环。</w:t>
      </w:r>
    </w:p>
    <w:p w14:paraId="2DC5D8C3">
      <w:pPr>
        <w:pStyle w:val="5"/>
        <w:ind w:left="0" w:leftChars="0" w:firstLine="0" w:firstLineChars="0"/>
        <w:rPr>
          <w:rFonts w:hint="eastAsia"/>
          <w:highlight w:val="none"/>
          <w:lang w:val="en-US" w:eastAsia="zh-CN"/>
        </w:rPr>
      </w:pPr>
    </w:p>
    <w:p w14:paraId="644E27B8">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67" w:name="bookmark77"/>
      <w:bookmarkEnd w:id="67"/>
      <w:bookmarkStart w:id="68" w:name="_Toc26617"/>
      <w:r>
        <w:rPr>
          <w:rFonts w:hint="eastAsia"/>
          <w:b w:val="0"/>
          <w:bCs/>
          <w:highlight w:val="none"/>
          <w:lang w:val="en-US" w:eastAsia="zh-CN"/>
        </w:rPr>
        <w:t>第三节 畅通经济循环通道</w:t>
      </w:r>
      <w:bookmarkEnd w:id="68"/>
    </w:p>
    <w:p w14:paraId="392F49A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健全商贸服务网络。</w:t>
      </w:r>
      <w:r>
        <w:rPr>
          <w:rFonts w:hint="eastAsia" w:ascii="仿宋_GB2312" w:hAnsi="仿宋_GB2312" w:eastAsia="仿宋_GB2312" w:cs="仿宋_GB2312"/>
          <w:spacing w:val="7"/>
          <w:sz w:val="32"/>
          <w:szCs w:val="32"/>
          <w:highlight w:val="none"/>
          <w:lang w:val="en-US" w:eastAsia="zh-CN"/>
        </w:rPr>
        <w:t>以主城区、七星镇及周边1公里为半径，推进城乡商圈建设，提升商圈服务水平，完善商贸配套设施建设，升级社区便利店，加强配送与供应链建设，推进农村电商高质量发展。加快推进乡镇及独立工矿区农贸市场升级改造。</w:t>
      </w:r>
    </w:p>
    <w:p w14:paraId="0D4F7C8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构建“全域覆盖、多业融合、上下联动”的电商发展体系，夯实城乡数字商贸根基。主体培育上实施电商人才 “强基计划”，培育本土化“新农人”主播和运营团队，打造区域直播电商共享基地。深化“电商+特色产业”模式，对粮食、农副产品等优势品类搭建农村电商综合服务平台。推进“电商+农贸市场”模式，发展“当日达”“次日达”配送服务，打通农产品进城“最后一公里”。</w:t>
      </w:r>
    </w:p>
    <w:p w14:paraId="49F9116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加强物流体系建设。</w:t>
      </w:r>
      <w:r>
        <w:rPr>
          <w:rFonts w:hint="eastAsia" w:ascii="仿宋_GB2312" w:hAnsi="仿宋_GB2312" w:eastAsia="仿宋_GB2312" w:cs="仿宋_GB2312"/>
          <w:spacing w:val="7"/>
          <w:sz w:val="32"/>
          <w:szCs w:val="32"/>
          <w:highlight w:val="none"/>
          <w:lang w:val="en-US" w:eastAsia="zh-CN"/>
        </w:rPr>
        <w:t>推进物流业发展，构建以粮食、农副产品，煤炭产品为服务对象，以商超、连锁店等零售网点为补充的全域物流市场服务体系，引导物流企业提升服务质量。谋划物流中转基地项目，承接省市物流中转过境通道服务功能。</w:t>
      </w:r>
    </w:p>
    <w:p w14:paraId="1079B5C4">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表12  经济循环通道畅通工程</w:t>
      </w:r>
    </w:p>
    <w:p w14:paraId="4DD8AFE4">
      <w:pPr>
        <w:spacing w:line="67" w:lineRule="auto"/>
        <w:rPr>
          <w:rFonts w:ascii="Arial"/>
          <w:sz w:val="2"/>
          <w:highlight w:val="none"/>
        </w:rPr>
      </w:pPr>
    </w:p>
    <w:tbl>
      <w:tblPr>
        <w:tblStyle w:val="13"/>
        <w:tblW w:w="8304" w:type="dxa"/>
        <w:tblInd w:w="14"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993"/>
        <w:gridCol w:w="7311"/>
      </w:tblGrid>
      <w:tr w14:paraId="3CF40DB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17" w:hRule="atLeast"/>
        </w:trPr>
        <w:tc>
          <w:tcPr>
            <w:tcW w:w="993" w:type="dxa"/>
            <w:tcBorders>
              <w:left w:val="nil"/>
              <w:right w:val="single" w:color="000000" w:sz="2" w:space="0"/>
            </w:tcBorders>
            <w:vAlign w:val="top"/>
          </w:tcPr>
          <w:p w14:paraId="271BDC9A">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7311" w:type="dxa"/>
            <w:tcBorders>
              <w:left w:val="single" w:color="000000" w:sz="2" w:space="0"/>
              <w:right w:val="nil"/>
            </w:tcBorders>
            <w:vAlign w:val="top"/>
          </w:tcPr>
          <w:p w14:paraId="16E0153D">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工作任务</w:t>
            </w:r>
          </w:p>
        </w:tc>
      </w:tr>
      <w:tr w14:paraId="71009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993" w:type="dxa"/>
            <w:tcBorders>
              <w:left w:val="nil"/>
              <w:bottom w:val="single" w:color="000000" w:sz="10" w:space="0"/>
            </w:tcBorders>
            <w:vAlign w:val="top"/>
          </w:tcPr>
          <w:p w14:paraId="63ED5C6B">
            <w:pPr>
              <w:pStyle w:val="14"/>
              <w:spacing w:before="75" w:line="321" w:lineRule="auto"/>
              <w:jc w:val="center"/>
              <w:rPr>
                <w:rFonts w:hint="eastAsia" w:ascii="仿宋_GB2312" w:hAnsi="仿宋_GB2312" w:eastAsia="仿宋_GB2312" w:cs="仿宋_GB2312"/>
                <w:spacing w:val="5"/>
                <w:sz w:val="24"/>
                <w:szCs w:val="24"/>
                <w:highlight w:val="none"/>
                <w:lang w:val="en-US" w:eastAsia="en-US"/>
              </w:rPr>
            </w:pPr>
            <w:r>
              <w:rPr>
                <w:rFonts w:hint="eastAsia" w:ascii="仿宋_GB2312" w:hAnsi="仿宋_GB2312" w:eastAsia="仿宋_GB2312" w:cs="仿宋_GB2312"/>
                <w:spacing w:val="5"/>
                <w:sz w:val="24"/>
                <w:szCs w:val="24"/>
                <w:highlight w:val="none"/>
                <w:lang w:val="en-US" w:eastAsia="en-US"/>
              </w:rPr>
              <w:t>商贸物</w:t>
            </w:r>
          </w:p>
          <w:p w14:paraId="7B62687D">
            <w:pPr>
              <w:pStyle w:val="14"/>
              <w:spacing w:before="75" w:line="321" w:lineRule="auto"/>
              <w:jc w:val="center"/>
              <w:rPr>
                <w:rFonts w:hint="eastAsia" w:ascii="仿宋_GB2312" w:hAnsi="仿宋_GB2312" w:eastAsia="仿宋_GB2312" w:cs="仿宋_GB2312"/>
                <w:spacing w:val="5"/>
                <w:sz w:val="24"/>
                <w:szCs w:val="24"/>
                <w:highlight w:val="none"/>
                <w:lang w:val="en-US" w:eastAsia="en-US"/>
              </w:rPr>
            </w:pPr>
            <w:r>
              <w:rPr>
                <w:rFonts w:hint="eastAsia" w:ascii="仿宋_GB2312" w:hAnsi="仿宋_GB2312" w:eastAsia="仿宋_GB2312" w:cs="仿宋_GB2312"/>
                <w:spacing w:val="5"/>
                <w:sz w:val="24"/>
                <w:szCs w:val="24"/>
                <w:highlight w:val="none"/>
                <w:lang w:val="en-US" w:eastAsia="en-US"/>
              </w:rPr>
              <w:t>流体系</w:t>
            </w:r>
          </w:p>
        </w:tc>
        <w:tc>
          <w:tcPr>
            <w:tcW w:w="7311" w:type="dxa"/>
            <w:tcBorders>
              <w:bottom w:val="single" w:color="000000" w:sz="10" w:space="0"/>
              <w:right w:val="nil"/>
            </w:tcBorders>
            <w:vAlign w:val="top"/>
          </w:tcPr>
          <w:p w14:paraId="0D2943DF">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谋划智能物流园项目，建立以省市物流中转主通道服务功能的物流中转基地。双鸭山农场粮食烘干塔建设项目</w:t>
            </w:r>
          </w:p>
        </w:tc>
      </w:tr>
    </w:tbl>
    <w:p w14:paraId="6EFB8638">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69" w:name="_Toc15542"/>
    </w:p>
    <w:p w14:paraId="0E7BBE1E">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p>
    <w:p w14:paraId="191A6588">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r>
        <w:rPr>
          <w:rFonts w:hint="eastAsia" w:ascii="方正小标宋简体" w:hAnsi="方正小标宋简体" w:eastAsia="方正小标宋简体" w:cs="方正小标宋简体"/>
          <w:b w:val="0"/>
          <w:bCs/>
          <w:sz w:val="36"/>
          <w:szCs w:val="36"/>
          <w:highlight w:val="none"/>
          <w:lang w:val="en-US" w:eastAsia="zh-CN"/>
        </w:rPr>
        <w:t>第六章  提升对外开放水平 拓展合作共赢发展空间</w:t>
      </w:r>
      <w:bookmarkEnd w:id="69"/>
    </w:p>
    <w:p w14:paraId="03D4CC00">
      <w:pPr>
        <w:pStyle w:val="6"/>
        <w:keepNext w:val="0"/>
        <w:keepLines w:val="0"/>
        <w:pageBreakBefore w:val="0"/>
        <w:widowControl/>
        <w:kinsoku w:val="0"/>
        <w:wordWrap/>
        <w:overflowPunct/>
        <w:topLinePunct w:val="0"/>
        <w:autoSpaceDE w:val="0"/>
        <w:autoSpaceDN w:val="0"/>
        <w:bidi w:val="0"/>
        <w:adjustRightInd w:val="0"/>
        <w:snapToGrid w:val="0"/>
        <w:spacing w:afterAutospacing="0"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发挥</w:t>
      </w:r>
      <w:r>
        <w:rPr>
          <w:rFonts w:hint="eastAsia" w:ascii="Times New Roman" w:hAnsi="Times New Roman" w:eastAsia="仿宋_GB2312" w:cs="Times New Roman"/>
          <w:spacing w:val="7"/>
          <w:sz w:val="32"/>
          <w:szCs w:val="32"/>
          <w:highlight w:val="none"/>
          <w:lang w:val="en-US" w:eastAsia="zh-CN"/>
        </w:rPr>
        <w:t>300公里半径内辐射六个对俄国家级口岸的区位优势，立足产业基础及国际陆港型国家物流枢纽建设的有利契机，以跨境贸易便利化为突破口，协力推进对俄货物贸易中转区建设，以高</w:t>
      </w:r>
      <w:r>
        <w:rPr>
          <w:rFonts w:hint="eastAsia" w:ascii="仿宋_GB2312" w:hAnsi="仿宋_GB2312" w:eastAsia="仿宋_GB2312" w:cs="仿宋_GB2312"/>
          <w:spacing w:val="7"/>
          <w:sz w:val="32"/>
          <w:szCs w:val="32"/>
          <w:highlight w:val="none"/>
          <w:lang w:val="en-US" w:eastAsia="zh-CN"/>
        </w:rPr>
        <w:t>水平开放为引擎，加速构筑向北开放新高地，持续深化“双佛合作”，不断提升区域开放与合作水平。</w:t>
      </w:r>
    </w:p>
    <w:p w14:paraId="76DE195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培育壮大外贸主体。</w:t>
      </w:r>
      <w:r>
        <w:rPr>
          <w:rFonts w:hint="eastAsia" w:ascii="仿宋_GB2312" w:hAnsi="仿宋_GB2312" w:eastAsia="仿宋_GB2312" w:cs="仿宋_GB2312"/>
          <w:spacing w:val="7"/>
          <w:sz w:val="32"/>
          <w:szCs w:val="32"/>
          <w:highlight w:val="none"/>
          <w:lang w:val="en-US" w:eastAsia="zh-CN"/>
        </w:rPr>
        <w:t>依托现有外贸产业基本框架，瞄准中俄两个市场、两种资源，当好对俄贸易“中间人”。摸排区内有进出口潜力的生产企业、商贸企业，建立培育库，“一企一策”进</w:t>
      </w:r>
      <w:r>
        <w:rPr>
          <w:rFonts w:hint="eastAsia" w:ascii="Times New Roman" w:hAnsi="Times New Roman" w:eastAsia="仿宋_GB2312" w:cs="Times New Roman"/>
          <w:spacing w:val="7"/>
          <w:sz w:val="32"/>
          <w:szCs w:val="32"/>
          <w:highlight w:val="none"/>
          <w:lang w:val="en-US" w:eastAsia="zh-CN"/>
        </w:rPr>
        <w:t>行孵化。积极引进市内外贸综合服务企业或外向型企业在宝山开展业务。重点扶持1-2家区内骨干企业做大外贸规模。组织参与各类对俄经贸活动，拓展新兴领域，完善采购销售网络，做大对俄贸易规模。扩大出口产品规模，壮大中间品对俄贸易总量，进一步夯实外贸增长基础，力争到2030年，进出口总额增长5%以上。</w:t>
      </w:r>
    </w:p>
    <w:p w14:paraId="34D9DFC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pacing w:val="7"/>
          <w:sz w:val="32"/>
          <w:szCs w:val="32"/>
          <w:highlight w:val="none"/>
          <w:lang w:val="en-US" w:eastAsia="zh-CN"/>
        </w:rPr>
        <w:t>推进对俄贸易体系建设。</w:t>
      </w:r>
      <w:r>
        <w:rPr>
          <w:rFonts w:hint="eastAsia" w:ascii="仿宋_GB2312" w:hAnsi="仿宋_GB2312" w:eastAsia="仿宋_GB2312" w:cs="仿宋_GB2312"/>
          <w:spacing w:val="7"/>
          <w:sz w:val="32"/>
          <w:szCs w:val="32"/>
          <w:highlight w:val="none"/>
          <w:lang w:val="en-US" w:eastAsia="zh-CN"/>
        </w:rPr>
        <w:t>利用地理位置优势以及交通基础、产业支撑等有利条件，构建国际物流集散平台，并形成枢纽型辐射效应。引导企业充分利用双鸭山经开区、饶河口岸、宝清外贸基地等市级开放平台和通关便利。组织企业参加“广交会”“进博会”“哈洽会”等境内外重点展会。加强与市内外贸龙头企业合作，借船出海。鼓励区内传统制造企业、商贸企业利用市级跨境电商平台，尝试开展跨境电商业务（B2B为主）。支持有条件的企业拓展服务贸易。加强外贸政策宣讲和RCEP等规则培训。建立重点外贸企业联系机制，提供市场信息和风险预警，协调解决企业在通关、结汇、退税等环节的困难和问题。</w:t>
      </w:r>
    </w:p>
    <w:p w14:paraId="313C6508">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bookmarkStart w:id="70" w:name="bookmark78"/>
      <w:bookmarkEnd w:id="70"/>
      <w:bookmarkStart w:id="71" w:name="bookmark26"/>
      <w:bookmarkEnd w:id="71"/>
      <w:bookmarkStart w:id="72" w:name="bookmark79"/>
      <w:bookmarkEnd w:id="72"/>
      <w:r>
        <w:rPr>
          <w:rFonts w:hint="eastAsia" w:ascii="方正小标宋简体" w:hAnsi="方正小标宋简体" w:eastAsia="方正小标宋简体" w:cs="方正小标宋简体"/>
          <w:spacing w:val="7"/>
          <w:sz w:val="30"/>
          <w:szCs w:val="30"/>
          <w:highlight w:val="none"/>
          <w:lang w:val="en-US" w:eastAsia="zh-CN"/>
        </w:rPr>
        <w:t>表13  对外开放推动工程</w:t>
      </w:r>
    </w:p>
    <w:p w14:paraId="11FBC4D4">
      <w:pPr>
        <w:spacing w:line="39" w:lineRule="auto"/>
        <w:rPr>
          <w:rFonts w:ascii="Arial"/>
          <w:sz w:val="2"/>
          <w:highlight w:val="none"/>
        </w:rPr>
      </w:pPr>
    </w:p>
    <w:tbl>
      <w:tblPr>
        <w:tblStyle w:val="13"/>
        <w:tblW w:w="8296" w:type="dxa"/>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9"/>
        <w:gridCol w:w="2660"/>
        <w:gridCol w:w="4647"/>
      </w:tblGrid>
      <w:tr w14:paraId="60CBE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89" w:type="dxa"/>
            <w:tcBorders>
              <w:top w:val="single" w:color="000000" w:sz="10" w:space="0"/>
              <w:left w:val="nil"/>
              <w:bottom w:val="single" w:color="000000" w:sz="10" w:space="0"/>
            </w:tcBorders>
            <w:vAlign w:val="top"/>
          </w:tcPr>
          <w:p w14:paraId="46F3EED7">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2660" w:type="dxa"/>
            <w:tcBorders>
              <w:top w:val="single" w:color="000000" w:sz="10" w:space="0"/>
              <w:bottom w:val="single" w:color="000000" w:sz="10" w:space="0"/>
            </w:tcBorders>
            <w:vAlign w:val="top"/>
          </w:tcPr>
          <w:p w14:paraId="57E6AD0E">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发展目标</w:t>
            </w:r>
          </w:p>
        </w:tc>
        <w:tc>
          <w:tcPr>
            <w:tcW w:w="4647" w:type="dxa"/>
            <w:tcBorders>
              <w:top w:val="single" w:color="000000" w:sz="10" w:space="0"/>
              <w:bottom w:val="single" w:color="000000" w:sz="10" w:space="0"/>
              <w:right w:val="nil"/>
            </w:tcBorders>
            <w:vAlign w:val="top"/>
          </w:tcPr>
          <w:p w14:paraId="006BDD62">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事项</w:t>
            </w:r>
          </w:p>
        </w:tc>
      </w:tr>
      <w:tr w14:paraId="3CDC6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8" w:hRule="atLeast"/>
        </w:trPr>
        <w:tc>
          <w:tcPr>
            <w:tcW w:w="989" w:type="dxa"/>
            <w:tcBorders>
              <w:top w:val="single" w:color="000000" w:sz="10" w:space="0"/>
              <w:left w:val="nil"/>
            </w:tcBorders>
            <w:vAlign w:val="top"/>
          </w:tcPr>
          <w:p w14:paraId="21C22D1F">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p>
          <w:p w14:paraId="31D9543E">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培育外</w:t>
            </w:r>
          </w:p>
          <w:p w14:paraId="18326371">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贸主体</w:t>
            </w:r>
          </w:p>
        </w:tc>
        <w:tc>
          <w:tcPr>
            <w:tcW w:w="2660" w:type="dxa"/>
            <w:tcBorders>
              <w:top w:val="single" w:color="000000" w:sz="10" w:space="0"/>
            </w:tcBorders>
            <w:vAlign w:val="top"/>
          </w:tcPr>
          <w:p w14:paraId="57C44BBF">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重点扶持1-2家区内骨干企业做大外贸规模。到2030年进出口总额增长5%以上</w:t>
            </w:r>
          </w:p>
        </w:tc>
        <w:tc>
          <w:tcPr>
            <w:tcW w:w="4647" w:type="dxa"/>
            <w:tcBorders>
              <w:top w:val="single" w:color="000000" w:sz="10" w:space="0"/>
              <w:right w:val="nil"/>
            </w:tcBorders>
            <w:vAlign w:val="center"/>
          </w:tcPr>
          <w:p w14:paraId="3D940EDC">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建立外贸企业培育库，以食品、新材料、煤炭为方向扩大对俄贸易规模</w:t>
            </w:r>
          </w:p>
        </w:tc>
      </w:tr>
      <w:tr w14:paraId="24EF0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8" w:hRule="atLeast"/>
        </w:trPr>
        <w:tc>
          <w:tcPr>
            <w:tcW w:w="989" w:type="dxa"/>
            <w:tcBorders>
              <w:left w:val="nil"/>
              <w:bottom w:val="single" w:color="000000" w:sz="10" w:space="0"/>
            </w:tcBorders>
            <w:vAlign w:val="top"/>
          </w:tcPr>
          <w:p w14:paraId="0687CEE9">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p>
          <w:p w14:paraId="4AA4B293">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对俄外贸体系建设</w:t>
            </w:r>
          </w:p>
        </w:tc>
        <w:tc>
          <w:tcPr>
            <w:tcW w:w="2660" w:type="dxa"/>
            <w:tcBorders>
              <w:bottom w:val="single" w:color="000000" w:sz="10" w:space="0"/>
            </w:tcBorders>
            <w:vAlign w:val="top"/>
          </w:tcPr>
          <w:p w14:paraId="5E6794F5">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p>
          <w:p w14:paraId="0B67BC3B">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对俄外贸进出口体系初步形成</w:t>
            </w:r>
          </w:p>
        </w:tc>
        <w:tc>
          <w:tcPr>
            <w:tcW w:w="4647" w:type="dxa"/>
            <w:tcBorders>
              <w:bottom w:val="single" w:color="000000" w:sz="10" w:space="0"/>
              <w:right w:val="nil"/>
            </w:tcBorders>
            <w:vAlign w:val="top"/>
          </w:tcPr>
          <w:p w14:paraId="49630480">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引导企业充分利用双鸭山经开区、饶河口岸、宝清外贸基地等市级开放平台和通关便利。组织企业参加“广交会”“进博会”“哈洽会”等境内外重点展会。加强与市内外贸龙头企业合作</w:t>
            </w:r>
          </w:p>
        </w:tc>
      </w:tr>
    </w:tbl>
    <w:p w14:paraId="356A4D3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b w:val="0"/>
          <w:bCs w:val="0"/>
          <w:spacing w:val="7"/>
          <w:sz w:val="32"/>
          <w:szCs w:val="32"/>
          <w:highlight w:val="none"/>
          <w:lang w:val="en-US" w:eastAsia="zh-CN"/>
        </w:rPr>
        <w:t>立足禀赋深化“双佛”合作。</w:t>
      </w:r>
      <w:r>
        <w:rPr>
          <w:rFonts w:hint="eastAsia" w:ascii="仿宋_GB2312" w:hAnsi="仿宋_GB2312" w:eastAsia="仿宋_GB2312" w:cs="仿宋_GB2312"/>
          <w:spacing w:val="7"/>
          <w:sz w:val="32"/>
          <w:szCs w:val="32"/>
          <w:highlight w:val="none"/>
          <w:lang w:val="en-US" w:eastAsia="zh-CN"/>
        </w:rPr>
        <w:t>在原有双方合作的基础上，立足双方资源禀赋和比较优势，坚持“政府搭台、社会参与、优势互补、合作共赢、市场运作、法制保障”的原则，密切交流、集中发力，与佛山市外溢产业衔接相结合。加强招商引资，加快市场主体引进，推进双佛合作向更高层次发展。积极搭建对口交流平台，不断拓展合作广度和深度，聚焦“全方位、多层次、常态化”人文交流模式，在人才和科技资源共享等方面进行了深入合作。</w:t>
      </w:r>
    </w:p>
    <w:p w14:paraId="5F084FF1">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73" w:name="_Toc16141"/>
    </w:p>
    <w:p w14:paraId="742586B6">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p>
    <w:p w14:paraId="42DD2FE4">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r>
        <w:rPr>
          <w:rFonts w:hint="eastAsia" w:ascii="方正小标宋简体" w:hAnsi="方正小标宋简体" w:eastAsia="方正小标宋简体" w:cs="方正小标宋简体"/>
          <w:b w:val="0"/>
          <w:bCs/>
          <w:sz w:val="36"/>
          <w:szCs w:val="36"/>
          <w:highlight w:val="none"/>
          <w:lang w:val="en-US" w:eastAsia="zh-CN"/>
        </w:rPr>
        <w:t>第七章  深化全面改革攻坚 注入高质量发展新动能</w:t>
      </w:r>
      <w:bookmarkEnd w:id="73"/>
      <w:r>
        <w:rPr>
          <w:rFonts w:hint="eastAsia" w:ascii="方正小标宋简体" w:hAnsi="方正小标宋简体" w:eastAsia="方正小标宋简体" w:cs="方正小标宋简体"/>
          <w:b w:val="0"/>
          <w:bCs/>
          <w:sz w:val="36"/>
          <w:szCs w:val="36"/>
          <w:highlight w:val="none"/>
          <w:lang w:val="en-US" w:eastAsia="zh-CN"/>
        </w:rPr>
        <w:tab/>
      </w:r>
    </w:p>
    <w:p w14:paraId="78D5C06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以经济体制改革为牵引，高质量深化科技创新体制改革，高标准推进重点领域和关键环节改革，高效能激发各类经营主体创新活力，推动改革向广度和深度拓展。积极融入全国统一大市场，坚决破除市场准入壁垒，加快构建高标准市场体系，优化营商环境，促进民营经济高质量发展。实施民营企业提质增效行动，全面提升综合竞争力。</w:t>
      </w:r>
    </w:p>
    <w:p w14:paraId="611865D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78A9573">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74" w:name="_Toc4175"/>
      <w:r>
        <w:rPr>
          <w:rFonts w:hint="eastAsia"/>
          <w:b w:val="0"/>
          <w:bCs/>
          <w:highlight w:val="none"/>
          <w:lang w:val="en-US" w:eastAsia="zh-CN"/>
        </w:rPr>
        <w:t>第一节 优化营商环境</w:t>
      </w:r>
      <w:bookmarkEnd w:id="74"/>
    </w:p>
    <w:p w14:paraId="555EA13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完善市场监管领域工作流程，坚持法治是最好的营商环境，强化系统思维、改革思维、底线思维，加强改革举措的系统集成，积极构建现代化市场监管制度体系，完善等级管理，公平竞争，市场秩序等各项制度。营造便利规范的市场监管领域经营主体准入退出环境。加快建设全国统一大市场，构建全国统一的市场制度规则，促进本地商品要素资源在更大范围内畅通流动。提升登记注册规范化便利化水平，推广电子营业执照应用，完善有序的市场退出制度。维护公平有序的市场竞争环境。强化竞争政策基础地位，加大力度清理废除妨碍统一市场和公平竞争的规定做法，持续创造公平竞争、竞相发展的市场环境。健全公平竞争制度，加强反垄断监管执法。严格规范市场秩序。持续规范市场行为，创新监督监管机制，严厉打击破坏社会主义市场经济秩序的违法犯罪行为，保护企业合法权益。推进信用风险分类管理和“双随机、一公开”监管，促进平台经济有序发展，促进广告行业健康发展，做好中小企业欠款清理工作。推进严格规范公正文明执法，坚持依法行政，恪守法定职责必须为、法无授权不可为，强化食品安全等民生重点领域执法力度，强化公正文明执法，坚持依法执法。健全食品安全风险防控体系，严防严管药品安全风险，强化工业产品质量安全源头治理，强化特种设备安全责任落实。优化政务服务，坚持问题导向和目标导向相结合，全力解决好企业和群众反映强烈的办事难、办事慢、办事繁的问题，持续创新政务服务模式，不断优化政务服务流程，全面提升政务服务水平。</w:t>
      </w:r>
    </w:p>
    <w:p w14:paraId="48F8B04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扎实解决拖欠账款问题。加快推进落实偿还拖欠企业账款工作，压实地方政府属地责任，对拖欠企业特别是中小微企业账款“应付快付、应付尽付”，加强审计监督，强化政府合同履约监督，健全清欠长效机制。</w:t>
      </w:r>
    </w:p>
    <w:p w14:paraId="47EA7D9C">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75" w:name="bookmark81"/>
      <w:bookmarkEnd w:id="75"/>
      <w:bookmarkStart w:id="76" w:name="_Toc17893"/>
    </w:p>
    <w:p w14:paraId="7F63D38B">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default"/>
          <w:b w:val="0"/>
          <w:bCs/>
          <w:highlight w:val="none"/>
          <w:lang w:val="en-US" w:eastAsia="zh-CN"/>
        </w:rPr>
      </w:pPr>
      <w:r>
        <w:rPr>
          <w:rFonts w:hint="eastAsia"/>
          <w:b w:val="0"/>
          <w:bCs/>
          <w:highlight w:val="none"/>
          <w:lang w:val="en-US" w:eastAsia="zh-CN"/>
        </w:rPr>
        <w:t>第二节 激发民营经济活力</w:t>
      </w:r>
      <w:bookmarkEnd w:id="76"/>
    </w:p>
    <w:p w14:paraId="571EE20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构建高水平社会主义市场经济体制，持续优化稳定公平透明可预期的发展环境，充分激发民营经济生机活力。</w:t>
      </w:r>
    </w:p>
    <w:p w14:paraId="163307B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促进民营经济高质量发展。全面落实市场准入负面清单制度，常态化清理各类隐性壁垒，保障民营企业在煤炭加工、农产品精深加工、食用菌养殖、特色畜牧、电商等优势领域公平参与市场竞争。畅通政企沟通渠道，深入开展“政商沙龙”活动，为企业纾困解难。推进“小微企业融资协调工作机制”，搭建政银企高效对接平台，推广精准化金融服务，拓宽融资渠道、提升金融供给效率，为企业技术迭代、产能扩张提供资金保障。鼓励民营企业加大研发投入，聚焦产业链延链补链强链，培育创新型中小企业、“专精特新”企业和单项冠军企业，提升综合创新与核心竞争能力。支持中小微企业深度参与政府采购，依托中俄博览会等平台拓展国内外市场，推动宠物食品、优质农产品等特色产品走向更广阔舞台。依法平等对待国有企业与民营企业、本地企业与市外企业，确保惠企政策统一适用、市场机会公平均等。持续优化民营企业发展生态，关心关爱企业家成长，弘扬创新进取、担当实干的企业家精神，通过政策赋能、服务提质、氛围营造，激发民营经济内生动力与</w:t>
      </w:r>
      <w:r>
        <w:rPr>
          <w:rFonts w:hint="eastAsia" w:ascii="Times New Roman" w:hAnsi="Times New Roman" w:eastAsia="仿宋_GB2312" w:cs="Times New Roman"/>
          <w:spacing w:val="7"/>
          <w:sz w:val="32"/>
          <w:szCs w:val="32"/>
          <w:highlight w:val="none"/>
          <w:lang w:val="en-US" w:eastAsia="zh-CN"/>
        </w:rPr>
        <w:t>发展活力，力争到2030年，民营企业占</w:t>
      </w:r>
      <w:r>
        <w:rPr>
          <w:rFonts w:hint="eastAsia" w:ascii="仿宋_GB2312" w:hAnsi="仿宋_GB2312" w:eastAsia="仿宋_GB2312" w:cs="仿宋_GB2312"/>
          <w:spacing w:val="7"/>
          <w:sz w:val="32"/>
          <w:szCs w:val="32"/>
          <w:highlight w:val="none"/>
          <w:lang w:val="en-US" w:eastAsia="zh-CN"/>
        </w:rPr>
        <w:t>全区规上企业比重</w:t>
      </w:r>
      <w:r>
        <w:rPr>
          <w:rFonts w:hint="eastAsia" w:ascii="Times New Roman" w:hAnsi="Times New Roman" w:eastAsia="仿宋_GB2312" w:cs="Times New Roman"/>
          <w:spacing w:val="7"/>
          <w:sz w:val="32"/>
          <w:szCs w:val="32"/>
          <w:highlight w:val="none"/>
          <w:lang w:val="en-US" w:eastAsia="zh-CN"/>
        </w:rPr>
        <w:t>超过90%，成为支</w:t>
      </w:r>
      <w:r>
        <w:rPr>
          <w:rFonts w:hint="eastAsia" w:ascii="仿宋_GB2312" w:hAnsi="仿宋_GB2312" w:eastAsia="仿宋_GB2312" w:cs="仿宋_GB2312"/>
          <w:spacing w:val="7"/>
          <w:sz w:val="32"/>
          <w:szCs w:val="32"/>
          <w:highlight w:val="none"/>
          <w:lang w:val="en-US" w:eastAsia="zh-CN"/>
        </w:rPr>
        <w:t>撑宝山经济社会发展的中坚力量。</w:t>
      </w:r>
    </w:p>
    <w:p w14:paraId="55DA666D">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77" w:name="bookmark82"/>
      <w:bookmarkEnd w:id="77"/>
      <w:bookmarkStart w:id="78" w:name="_Toc21121"/>
      <w:r>
        <w:rPr>
          <w:rFonts w:hint="eastAsia"/>
          <w:b w:val="0"/>
          <w:bCs/>
          <w:highlight w:val="none"/>
          <w:lang w:val="en-US" w:eastAsia="zh-CN"/>
        </w:rPr>
        <w:t>第三节 深化重点领域改革</w:t>
      </w:r>
      <w:bookmarkEnd w:id="78"/>
    </w:p>
    <w:p w14:paraId="26F7BA7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坚持和落实“两个毫不动摇”，促进各种所有制经济优势互补、共同发展。深化国资国企改革，推进国有企业战略性重组和专业化整合。梳理低效企业，加大压缩管理层级和减少法人户力度，深入推进亏损企业治理。完善国有企业分类考核评价体系，开展国有企业增加值核算。健全国资监管体制机制,运用信息化手段实现穿透式监管。支持“双矿”“农垦”“电厂”等域内大型国企改革攻坚。深入实施地方国有企业创新驱动发展战略，推动国有企业在新兴产业等关键领域加大投资和布局力度，促进新质生产力发展，增强国有企业核心竞争力。吸引中央企业扩大在双投资规模，争取国家重大生产力布局落地。推进国企现代制度建设，优化董事会运行机制，完善公司治理。</w:t>
      </w:r>
    </w:p>
    <w:p w14:paraId="0DB7EE5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推进财税制度体系创新，健全现代预算制度，加强财政资源和预算统筹，深化零基预算改革，健全过紧日子长效机制，提升财政资金使用效益。拓宽融资渠道，提升融资效率，充实上市后备资源库，助推企业上市发展。全面承接落实消费税、地方附加税、环保税等税制改革任务，全面落实更加有利于地方高质量发展、社会公平、市场统一的税收制度。</w:t>
      </w:r>
    </w:p>
    <w:p w14:paraId="5F34E11B">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79" w:name="_Toc26692"/>
    </w:p>
    <w:p w14:paraId="0F35F407">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p>
    <w:p w14:paraId="345F3173">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r>
        <w:rPr>
          <w:rFonts w:hint="eastAsia" w:ascii="方正小标宋简体" w:hAnsi="方正小标宋简体" w:eastAsia="方正小标宋简体" w:cs="方正小标宋简体"/>
          <w:b w:val="0"/>
          <w:bCs/>
          <w:sz w:val="36"/>
          <w:szCs w:val="36"/>
          <w:highlight w:val="none"/>
          <w:lang w:val="en-US" w:eastAsia="zh-CN"/>
        </w:rPr>
        <w:t>第八章  促进域内协同联动 推动区域发展融合共进</w:t>
      </w:r>
      <w:bookmarkEnd w:id="79"/>
    </w:p>
    <w:p w14:paraId="5C3BD65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构建“矿地”“森地”“垦地”协同发展新格局，与国能、龙煤、森工、北大荒集团等驻区各单位建立“资源共享、产业联动、服务协同、要素保障”的工作机制，形成相互促进、合作共赢的新发展格局。区矿联动合作共赢，加大矿产资源领域合作开发，释放优势产能，保障资源供应。逐步恢复矿区生态平衡。推进煤电和新能源等领域合作，促进能源结构优化和企业转型。区林协同绿色共赢，释放林业经济增长潜力，在林业资源综合利用、林下经济培育、绿色食品加工、生态旅游开发、碳汇交易等方面协同推进。垦地融合赋能兴农，强化区垦共建，促进垦地融合，利用地缘优势与双鸭山农场通过多种途径建立合作机制，共同推进农业现代化，探索“双向奔赴”模式，推动设施农业、有机蔬菜种植等领域的协同发展。引入企业参与特色农产品品牌建设。加强垦地合作交流，推进垦地农业高质量发展。依托资源地缘优势，加强与双鸭山农场融合发展合作，运用“一区、一村、一田”发展模式，建立完善协调沟通机制，强化信息共享与资源整合，加大对低质农田改造力度。发挥“垦地共建党小组”的带头作用，将农场种植技术、管理模式等先进经验不断引入我区。加强与双鸭山农场农业机械应用与合作，提高农业机械装备综合利用率，实现资源共享、优势互补。加强与国电双鸭山发电有限公司合作，区电联动固废变宝，依托充足的电力、蒸汽等资源，推进首端机组供热改造，实施长距离供热工程，引进专业企业开展技术攻关谋划粉煤灰综合利用，让电力资源惠及更多企业和群众。</w:t>
      </w:r>
    </w:p>
    <w:p w14:paraId="36A7DB41">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表14  域内协同发展提升工程</w:t>
      </w:r>
    </w:p>
    <w:p w14:paraId="7A6C8D5A">
      <w:pPr>
        <w:spacing w:line="63" w:lineRule="auto"/>
        <w:rPr>
          <w:rFonts w:ascii="Arial"/>
          <w:sz w:val="2"/>
          <w:highlight w:val="none"/>
        </w:rPr>
      </w:pPr>
    </w:p>
    <w:tbl>
      <w:tblPr>
        <w:tblStyle w:val="13"/>
        <w:tblW w:w="834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7334"/>
      </w:tblGrid>
      <w:tr w14:paraId="2A719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010" w:type="dxa"/>
            <w:tcBorders>
              <w:top w:val="single" w:color="000000" w:sz="10" w:space="0"/>
              <w:left w:val="nil"/>
              <w:bottom w:val="single" w:color="000000" w:sz="10" w:space="0"/>
            </w:tcBorders>
            <w:vAlign w:val="top"/>
          </w:tcPr>
          <w:p w14:paraId="32816705">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334" w:type="dxa"/>
            <w:tcBorders>
              <w:top w:val="single" w:color="000000" w:sz="10" w:space="0"/>
              <w:bottom w:val="single" w:color="000000" w:sz="10" w:space="0"/>
              <w:right w:val="nil"/>
            </w:tcBorders>
            <w:vAlign w:val="top"/>
          </w:tcPr>
          <w:p w14:paraId="766E931B">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重点任务及重点工作方向</w:t>
            </w:r>
          </w:p>
        </w:tc>
      </w:tr>
      <w:tr w14:paraId="00930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010" w:type="dxa"/>
            <w:tcBorders>
              <w:top w:val="single" w:color="000000" w:sz="10" w:space="0"/>
              <w:left w:val="nil"/>
            </w:tcBorders>
            <w:vAlign w:val="center"/>
          </w:tcPr>
          <w:p w14:paraId="6CC5B003">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矿地合作</w:t>
            </w:r>
          </w:p>
        </w:tc>
        <w:tc>
          <w:tcPr>
            <w:tcW w:w="7334" w:type="dxa"/>
            <w:tcBorders>
              <w:top w:val="single" w:color="000000" w:sz="10" w:space="0"/>
              <w:right w:val="nil"/>
            </w:tcBorders>
            <w:vAlign w:val="top"/>
          </w:tcPr>
          <w:p w14:paraId="7BBD09C4">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加大矿产资源领域合作开发，释放优势产能，保障资源供应。逐步恢复矿区生态平衡。推进煤电和新能源等领域合作，促进能源结构优化和企业转型</w:t>
            </w:r>
          </w:p>
        </w:tc>
      </w:tr>
      <w:tr w14:paraId="698D0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010" w:type="dxa"/>
            <w:tcBorders>
              <w:left w:val="nil"/>
            </w:tcBorders>
            <w:vAlign w:val="center"/>
          </w:tcPr>
          <w:p w14:paraId="7A89EFC8">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森地协同</w:t>
            </w:r>
          </w:p>
        </w:tc>
        <w:tc>
          <w:tcPr>
            <w:tcW w:w="7334" w:type="dxa"/>
            <w:tcBorders>
              <w:right w:val="nil"/>
            </w:tcBorders>
            <w:vAlign w:val="top"/>
          </w:tcPr>
          <w:p w14:paraId="2168E564">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释放林业经济增长潜力，在林业资源综合利用、林下经济培育、碳汇交易等方面协同推进</w:t>
            </w:r>
          </w:p>
        </w:tc>
      </w:tr>
      <w:tr w14:paraId="3390D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010" w:type="dxa"/>
            <w:tcBorders>
              <w:left w:val="nil"/>
            </w:tcBorders>
            <w:vAlign w:val="center"/>
          </w:tcPr>
          <w:p w14:paraId="66B22579">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垦地共赢</w:t>
            </w:r>
          </w:p>
        </w:tc>
        <w:tc>
          <w:tcPr>
            <w:tcW w:w="7334" w:type="dxa"/>
            <w:tcBorders>
              <w:right w:val="nil"/>
            </w:tcBorders>
            <w:vAlign w:val="top"/>
          </w:tcPr>
          <w:p w14:paraId="16176E8F">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与双鸭山农场推动设施农业、有机蔬菜种植等领域的协同发展。运用“一区、一村、一田”发展模式，建立完善协调沟通机制，强化信息共享与资源整合，加大对低质农田改造力度。加强与双鸭山农场农业机械应用与合作，提高农业机械装备综合利用率，实现资源共享、优势互补</w:t>
            </w:r>
          </w:p>
        </w:tc>
      </w:tr>
      <w:tr w14:paraId="3D6EE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010" w:type="dxa"/>
            <w:tcBorders>
              <w:left w:val="nil"/>
              <w:bottom w:val="single" w:color="000000" w:sz="10" w:space="0"/>
            </w:tcBorders>
            <w:vAlign w:val="center"/>
          </w:tcPr>
          <w:p w14:paraId="62E341D4">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区电联动</w:t>
            </w:r>
          </w:p>
        </w:tc>
        <w:tc>
          <w:tcPr>
            <w:tcW w:w="7334" w:type="dxa"/>
            <w:tcBorders>
              <w:bottom w:val="single" w:color="000000" w:sz="10" w:space="0"/>
              <w:right w:val="nil"/>
            </w:tcBorders>
            <w:vAlign w:val="top"/>
          </w:tcPr>
          <w:p w14:paraId="5D2F59CF">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推进首端机组供热改造，实施长距离供热工程。谋划粉煤灰综合利用</w:t>
            </w:r>
          </w:p>
        </w:tc>
      </w:tr>
    </w:tbl>
    <w:p w14:paraId="3C8BF067">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6F76E80B">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0" w:name="_Toc26915"/>
      <w:r>
        <w:rPr>
          <w:rFonts w:hint="eastAsia"/>
          <w:b w:val="0"/>
          <w:bCs/>
          <w:highlight w:val="none"/>
          <w:lang w:val="en-US" w:eastAsia="zh-CN"/>
        </w:rPr>
        <w:t>第一节 进一步促进区域经济发展</w:t>
      </w:r>
      <w:bookmarkEnd w:id="80"/>
    </w:p>
    <w:p w14:paraId="76D25BF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速推进区域经济实现快速发展，因地制宜发展区域经济，推动兴业强区富民一体发展，提升区域产业承载能力和人口集聚功能。以营商环境聚势，落实好领导干部包联机制，开展好服务企业大走访活动，着力打造政务、政策、政商、要素、法治“五个高地”，为加快建设经济实力强、发展活力足、城市魅力大、幸福指数高的现代化宝山提供有力支撑。培育农业强区，促进粮经饲统筹、农林牧渔结合、产加销贯通、一二三产业融合，大力发展玉米、水稻、大豆、肉制品等农产品精深加工。培育工业强区，推动煤炭、新能源、新材料、特色农业产业链向中高端延伸，提升产业园区发展质效，促进产业专业化、集群化发展。培育旅游强区，坚持全域全季旅游发展方向，发展以“农文化”“酒文化”为核心的各类特色旅游，开发多种类型的生态康养产品和休闲度假产品，打造独具特色的区域旅游品牌，促进生态资源优势加速转化。</w:t>
      </w:r>
    </w:p>
    <w:p w14:paraId="13578CFA">
      <w:pPr>
        <w:keepNext w:val="0"/>
        <w:keepLines w:val="0"/>
        <w:pageBreakBefore w:val="0"/>
        <w:widowControl/>
        <w:kinsoku w:val="0"/>
        <w:wordWrap/>
        <w:overflowPunct/>
        <w:topLinePunct w:val="0"/>
        <w:autoSpaceDE w:val="0"/>
        <w:autoSpaceDN w:val="0"/>
        <w:bidi w:val="0"/>
        <w:adjustRightInd w:val="0"/>
        <w:snapToGrid w:val="0"/>
        <w:spacing w:line="580" w:lineRule="exact"/>
        <w:ind w:right="0" w:firstLine="656" w:firstLineChars="200"/>
        <w:jc w:val="both"/>
        <w:textAlignment w:val="baseline"/>
        <w:outlineLvl w:val="9"/>
        <w:rPr>
          <w:rFonts w:hint="eastAsia" w:ascii="仿宋_GB2312" w:hAnsi="仿宋_GB2312" w:eastAsia="仿宋_GB2312" w:cs="仿宋_GB2312"/>
          <w:spacing w:val="4"/>
          <w:sz w:val="32"/>
          <w:szCs w:val="32"/>
          <w:highlight w:val="none"/>
        </w:rPr>
      </w:pPr>
      <w:r>
        <w:rPr>
          <w:rFonts w:hint="eastAsia" w:ascii="仿宋_GB2312" w:hAnsi="仿宋_GB2312" w:eastAsia="仿宋_GB2312" w:cs="仿宋_GB2312"/>
          <w:spacing w:val="4"/>
          <w:sz w:val="32"/>
          <w:szCs w:val="32"/>
          <w:highlight w:val="none"/>
        </w:rPr>
        <w:t>从区域发展入手，利用七星镇地缘优势、交通条件，挖掘发展潜力。加强与宝山区产业发展互联互动，基础设施共建共享；通过资源整合，带动地区产业发展，推进农业现代化建设，旅游区域化运营，实现资源共享和均衡配置。形成以工促农、以城带乡的一体化发展格局。以山水林田湖草整体保护格局为目标，以七星镇自然资源禀赋和经济社会发展趋势为基础，贯彻生态文明发展理念</w:t>
      </w:r>
      <w:r>
        <w:rPr>
          <w:rFonts w:hint="eastAsia" w:ascii="仿宋_GB2312" w:hAnsi="仿宋_GB2312" w:eastAsia="仿宋_GB2312" w:cs="仿宋_GB2312"/>
          <w:spacing w:val="4"/>
          <w:sz w:val="32"/>
          <w:szCs w:val="32"/>
          <w:highlight w:val="none"/>
          <w:lang w:eastAsia="zh-CN"/>
        </w:rPr>
        <w:t>，</w:t>
      </w:r>
      <w:r>
        <w:rPr>
          <w:rFonts w:hint="eastAsia" w:ascii="仿宋_GB2312" w:hAnsi="仿宋_GB2312" w:eastAsia="仿宋_GB2312" w:cs="仿宋_GB2312"/>
          <w:spacing w:val="4"/>
          <w:sz w:val="32"/>
          <w:szCs w:val="32"/>
          <w:highlight w:val="none"/>
        </w:rPr>
        <w:t>保护优先，推进绿色高质量发展。确定七星镇构建生态优美、空间有序、用地集约的“一轴、一廊、两区、多点”的总体</w:t>
      </w:r>
      <w:r>
        <w:rPr>
          <w:rFonts w:hint="eastAsia" w:ascii="仿宋_GB2312" w:hAnsi="仿宋_GB2312" w:eastAsia="仿宋_GB2312" w:cs="仿宋_GB2312"/>
          <w:spacing w:val="4"/>
          <w:sz w:val="32"/>
          <w:szCs w:val="32"/>
          <w:highlight w:val="none"/>
          <w:lang w:val="en-US" w:eastAsia="zh-CN"/>
        </w:rPr>
        <w:t>发展</w:t>
      </w:r>
      <w:r>
        <w:rPr>
          <w:rFonts w:hint="eastAsia" w:ascii="仿宋_GB2312" w:hAnsi="仿宋_GB2312" w:eastAsia="仿宋_GB2312" w:cs="仿宋_GB2312"/>
          <w:spacing w:val="4"/>
          <w:sz w:val="32"/>
          <w:szCs w:val="32"/>
          <w:highlight w:val="none"/>
        </w:rPr>
        <w:t>格局。</w:t>
      </w:r>
    </w:p>
    <w:p w14:paraId="05240F99">
      <w:pPr>
        <w:keepNext w:val="0"/>
        <w:keepLines w:val="0"/>
        <w:pageBreakBefore w:val="0"/>
        <w:widowControl/>
        <w:kinsoku w:val="0"/>
        <w:wordWrap/>
        <w:overflowPunct/>
        <w:topLinePunct w:val="0"/>
        <w:autoSpaceDE w:val="0"/>
        <w:autoSpaceDN w:val="0"/>
        <w:bidi w:val="0"/>
        <w:adjustRightInd w:val="0"/>
        <w:snapToGrid w:val="0"/>
        <w:spacing w:line="580" w:lineRule="exact"/>
        <w:ind w:right="0" w:firstLine="656" w:firstLineChars="200"/>
        <w:jc w:val="both"/>
        <w:textAlignment w:val="baseline"/>
        <w:outlineLvl w:val="9"/>
        <w:rPr>
          <w:rFonts w:hint="eastAsia" w:ascii="仿宋_GB2312" w:hAnsi="仿宋_GB2312" w:eastAsia="仿宋_GB2312" w:cs="仿宋_GB2312"/>
          <w:spacing w:val="4"/>
          <w:sz w:val="32"/>
          <w:szCs w:val="32"/>
          <w:highlight w:val="none"/>
          <w:lang w:eastAsia="zh-CN"/>
        </w:rPr>
      </w:pPr>
      <w:r>
        <w:rPr>
          <w:rFonts w:hint="eastAsia" w:ascii="仿宋_GB2312" w:hAnsi="仿宋_GB2312" w:eastAsia="仿宋_GB2312" w:cs="仿宋_GB2312"/>
          <w:spacing w:val="4"/>
          <w:sz w:val="32"/>
          <w:szCs w:val="32"/>
          <w:highlight w:val="none"/>
        </w:rPr>
        <w:t>立足独立工矿区资源禀赋与发展实际，以“产业升级、生态修复、绿色多元”为抓手</w:t>
      </w:r>
      <w:r>
        <w:rPr>
          <w:rFonts w:hint="eastAsia" w:ascii="仿宋_GB2312" w:hAnsi="仿宋_GB2312" w:eastAsia="仿宋_GB2312" w:cs="仿宋_GB2312"/>
          <w:spacing w:val="4"/>
          <w:sz w:val="32"/>
          <w:szCs w:val="32"/>
          <w:highlight w:val="none"/>
          <w:lang w:eastAsia="zh-CN"/>
        </w:rPr>
        <w:t>，</w:t>
      </w:r>
      <w:r>
        <w:rPr>
          <w:rFonts w:hint="eastAsia" w:ascii="仿宋_GB2312" w:hAnsi="仿宋_GB2312" w:eastAsia="仿宋_GB2312" w:cs="仿宋_GB2312"/>
          <w:spacing w:val="4"/>
          <w:sz w:val="32"/>
          <w:szCs w:val="32"/>
          <w:highlight w:val="none"/>
          <w:lang w:val="en-US" w:eastAsia="zh-CN"/>
        </w:rPr>
        <w:t>推进</w:t>
      </w:r>
      <w:r>
        <w:rPr>
          <w:rFonts w:hint="eastAsia" w:ascii="仿宋_GB2312" w:hAnsi="仿宋_GB2312" w:eastAsia="仿宋_GB2312" w:cs="仿宋_GB2312"/>
          <w:spacing w:val="4"/>
          <w:sz w:val="32"/>
          <w:szCs w:val="32"/>
          <w:highlight w:val="none"/>
          <w:lang w:eastAsia="zh-CN"/>
        </w:rPr>
        <w:t>各重点区域协同发力。新安矿聚焦洗煤产业提质增效，实现“洗煤增效+土地修复”双轮驱动。七星矿以生态治理与智能化转型为重点，选煤厂完成智能化改造，依托矿区环境治理政策推进土地修复与资源循环利用。双阳矿与新安矿形成洗煤产业协同，开展采煤塌陷区复垦，实现矸石消化与黑土保护双赢。双鸭山农场与林区生态化增值，培育绿色农业、林下经济等新兴增长</w:t>
      </w:r>
      <w:r>
        <w:rPr>
          <w:rFonts w:hint="eastAsia" w:ascii="仿宋_GB2312" w:hAnsi="仿宋_GB2312" w:eastAsia="仿宋_GB2312" w:cs="仿宋_GB2312"/>
          <w:spacing w:val="4"/>
          <w:sz w:val="32"/>
          <w:szCs w:val="32"/>
          <w:highlight w:val="none"/>
          <w:lang w:val="en-US" w:eastAsia="zh-CN"/>
        </w:rPr>
        <w:t>点</w:t>
      </w:r>
      <w:r>
        <w:rPr>
          <w:rFonts w:hint="eastAsia" w:ascii="仿宋_GB2312" w:hAnsi="仿宋_GB2312" w:eastAsia="仿宋_GB2312" w:cs="仿宋_GB2312"/>
          <w:spacing w:val="4"/>
          <w:sz w:val="32"/>
          <w:szCs w:val="32"/>
          <w:highlight w:val="none"/>
          <w:lang w:eastAsia="zh-CN"/>
        </w:rPr>
        <w:t>，实现资源型区域经济转型与生态保护协同共进的高质量发展新格局。</w:t>
      </w:r>
    </w:p>
    <w:p w14:paraId="7342025D">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表15  区域经济提升工程</w:t>
      </w:r>
    </w:p>
    <w:p w14:paraId="170ACAFA">
      <w:pPr>
        <w:spacing w:line="59" w:lineRule="auto"/>
        <w:rPr>
          <w:rFonts w:ascii="Arial"/>
          <w:sz w:val="2"/>
          <w:highlight w:val="none"/>
        </w:rPr>
      </w:pPr>
    </w:p>
    <w:tbl>
      <w:tblPr>
        <w:tblStyle w:val="13"/>
        <w:tblW w:w="82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3"/>
        <w:gridCol w:w="7033"/>
      </w:tblGrid>
      <w:tr w14:paraId="71592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263" w:type="dxa"/>
            <w:tcBorders>
              <w:top w:val="single" w:color="000000" w:sz="10" w:space="0"/>
              <w:left w:val="nil"/>
              <w:bottom w:val="single" w:color="000000" w:sz="10" w:space="0"/>
            </w:tcBorders>
            <w:vAlign w:val="top"/>
          </w:tcPr>
          <w:p w14:paraId="735600A8">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033" w:type="dxa"/>
            <w:tcBorders>
              <w:top w:val="single" w:color="000000" w:sz="10" w:space="0"/>
              <w:bottom w:val="single" w:color="000000" w:sz="10" w:space="0"/>
              <w:right w:val="nil"/>
            </w:tcBorders>
            <w:vAlign w:val="top"/>
          </w:tcPr>
          <w:p w14:paraId="56B01570">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重点方向及任务</w:t>
            </w:r>
          </w:p>
        </w:tc>
      </w:tr>
      <w:tr w14:paraId="20848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1263" w:type="dxa"/>
            <w:tcBorders>
              <w:top w:val="single" w:color="000000" w:sz="10" w:space="0"/>
              <w:left w:val="nil"/>
            </w:tcBorders>
            <w:vAlign w:val="top"/>
          </w:tcPr>
          <w:p w14:paraId="48BBEA9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经济总量</w:t>
            </w:r>
          </w:p>
        </w:tc>
        <w:tc>
          <w:tcPr>
            <w:tcW w:w="7033" w:type="dxa"/>
            <w:tcBorders>
              <w:top w:val="single" w:color="000000" w:sz="10" w:space="0"/>
              <w:right w:val="nil"/>
            </w:tcBorders>
            <w:vAlign w:val="top"/>
          </w:tcPr>
          <w:p w14:paraId="26634F98">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实现“三个突破年”任务目标</w:t>
            </w:r>
          </w:p>
        </w:tc>
      </w:tr>
      <w:tr w14:paraId="2D5C9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263" w:type="dxa"/>
            <w:tcBorders>
              <w:left w:val="nil"/>
            </w:tcBorders>
            <w:vAlign w:val="top"/>
          </w:tcPr>
          <w:p w14:paraId="200953A7">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营商环境</w:t>
            </w:r>
          </w:p>
        </w:tc>
        <w:tc>
          <w:tcPr>
            <w:tcW w:w="7033" w:type="dxa"/>
            <w:tcBorders>
              <w:right w:val="nil"/>
            </w:tcBorders>
            <w:vAlign w:val="top"/>
          </w:tcPr>
          <w:p w14:paraId="72744AE5">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落实市委、市政府能力作风建设及优化营商环境的总体要求</w:t>
            </w:r>
          </w:p>
        </w:tc>
      </w:tr>
      <w:tr w14:paraId="777FD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63" w:type="dxa"/>
            <w:tcBorders>
              <w:left w:val="nil"/>
            </w:tcBorders>
            <w:vAlign w:val="center"/>
          </w:tcPr>
          <w:p w14:paraId="51D8460E">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产业发展</w:t>
            </w:r>
          </w:p>
        </w:tc>
        <w:tc>
          <w:tcPr>
            <w:tcW w:w="7033" w:type="dxa"/>
            <w:tcBorders>
              <w:right w:val="nil"/>
            </w:tcBorders>
            <w:vAlign w:val="top"/>
          </w:tcPr>
          <w:p w14:paraId="6C25B0F2">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煤电能源聚集区、设施农业示范区产业发展模式基本形成</w:t>
            </w:r>
          </w:p>
        </w:tc>
      </w:tr>
      <w:tr w14:paraId="717E5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jc w:val="center"/>
        </w:trPr>
        <w:tc>
          <w:tcPr>
            <w:tcW w:w="1263" w:type="dxa"/>
            <w:tcBorders>
              <w:left w:val="nil"/>
              <w:bottom w:val="single" w:color="000000" w:sz="10" w:space="0"/>
            </w:tcBorders>
            <w:vAlign w:val="top"/>
          </w:tcPr>
          <w:p w14:paraId="48FAB355">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民生领域</w:t>
            </w:r>
          </w:p>
        </w:tc>
        <w:tc>
          <w:tcPr>
            <w:tcW w:w="7033" w:type="dxa"/>
            <w:tcBorders>
              <w:bottom w:val="single" w:color="000000" w:sz="10" w:space="0"/>
              <w:right w:val="nil"/>
            </w:tcBorders>
            <w:vAlign w:val="top"/>
          </w:tcPr>
          <w:p w14:paraId="42F04659">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宜居宜业幸福区的发展目标初步达成</w:t>
            </w:r>
          </w:p>
        </w:tc>
      </w:tr>
    </w:tbl>
    <w:p w14:paraId="514AD170">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38ADB916">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1" w:name="_Toc321"/>
      <w:r>
        <w:rPr>
          <w:rFonts w:hint="eastAsia"/>
          <w:b w:val="0"/>
          <w:bCs/>
          <w:highlight w:val="none"/>
          <w:lang w:val="en-US" w:eastAsia="zh-CN"/>
        </w:rPr>
        <w:t>第二节 进一步推进新型城镇化进程</w:t>
      </w:r>
      <w:bookmarkEnd w:id="81"/>
    </w:p>
    <w:p w14:paraId="68243C9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实施新型城镇化战略，指引和推动新型城镇化建设取得新成就，准确把握人口流动和空间分布、产业变革和要素配置、就业形态和生活方式、进城落户和公共服务等方面的新动向，稳扎稳打推进新型城镇化高质量发展。</w:t>
      </w:r>
    </w:p>
    <w:p w14:paraId="17199F8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实施新一轮农业转移人口市民化行动，统筹兼顾城市（城区）间流动人口，进一步拓宽城镇落户渠道，努力缩小户籍人口城镇化率与常住人口城镇化率差距，推行由常住地登记户口提供基本公共服务制度，推动符合条件的农业转移人口社会保险、住房保障、随迁子女义务教育等享有同迁入地户籍人口同等权利，逐步使未落户常住人口享有均等化城镇基本公共服务，促进农业转移人口加快融入城市。实施城镇化水平提升行动，以七星矿、新安矿、东保卫矿、双阳矿及电厂等城镇化潜力较大的集中片区为重点，在协调推进新型工业化城镇化方面加快突破，构建产业梯度布局、人口就近就业、城区与乡镇协调发展的良性互动格局。实施都市培育行动，统筹兼顾资源型城区转型发展和人口流失等发展现状，加快转变城区发展方式，依托主城区辐射带动乡镇共同发展，实现生活便利共享，集约紧凑布局。实施综合承载能力提升行动，优化城区建设布局，加强市政基础设施建设，提升城区人居环境质量，健全公共服务体系，推动城乡融合发展。</w:t>
      </w:r>
    </w:p>
    <w:p w14:paraId="34524202">
      <w:pPr>
        <w:rPr>
          <w:highlight w:val="none"/>
        </w:rPr>
      </w:pPr>
    </w:p>
    <w:p w14:paraId="1E7181F3">
      <w:pPr>
        <w:pStyle w:val="5"/>
        <w:ind w:left="0" w:leftChars="0" w:firstLine="0" w:firstLineChars="0"/>
        <w:rPr>
          <w:rFonts w:hint="eastAsia" w:eastAsia="仿宋_GB2312"/>
          <w:highlight w:val="none"/>
          <w:lang w:val="en-US" w:eastAsia="zh-CN"/>
        </w:rPr>
      </w:pPr>
    </w:p>
    <w:p w14:paraId="72C061B1">
      <w:pPr>
        <w:rPr>
          <w:rFonts w:hint="eastAsia"/>
          <w:highlight w:val="none"/>
        </w:rPr>
      </w:pPr>
    </w:p>
    <w:p w14:paraId="718B02D1">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82" w:name="_Toc1314"/>
      <w:r>
        <w:rPr>
          <w:rFonts w:hint="eastAsia" w:ascii="方正小标宋简体" w:hAnsi="方正小标宋简体" w:eastAsia="方正小标宋简体" w:cs="方正小标宋简体"/>
          <w:b w:val="0"/>
          <w:bCs/>
          <w:sz w:val="36"/>
          <w:szCs w:val="36"/>
          <w:highlight w:val="none"/>
          <w:lang w:val="en-US" w:eastAsia="zh-CN"/>
        </w:rPr>
        <w:t>第九章  加强生态环境治理 筑牢北方生态安全屏障</w:t>
      </w:r>
      <w:bookmarkEnd w:id="82"/>
    </w:p>
    <w:p w14:paraId="6291544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以打造“</w:t>
      </w:r>
      <w:r>
        <w:rPr>
          <w:rFonts w:hint="eastAsia" w:ascii="仿宋_GB2312" w:hAnsi="仿宋_GB2312" w:eastAsia="仿宋_GB2312" w:cs="仿宋_GB2312"/>
          <w:b w:val="0"/>
          <w:bCs w:val="0"/>
          <w:color w:val="auto"/>
          <w:spacing w:val="11"/>
          <w:sz w:val="32"/>
          <w:szCs w:val="32"/>
          <w:highlight w:val="none"/>
          <w:lang w:val="en-US" w:eastAsia="zh-CN"/>
        </w:rPr>
        <w:t>宜居宜业幸福区</w:t>
      </w:r>
      <w:r>
        <w:rPr>
          <w:rFonts w:hint="eastAsia" w:ascii="仿宋_GB2312" w:hAnsi="仿宋_GB2312" w:eastAsia="仿宋_GB2312" w:cs="仿宋_GB2312"/>
          <w:spacing w:val="7"/>
          <w:sz w:val="32"/>
          <w:szCs w:val="32"/>
          <w:highlight w:val="none"/>
          <w:lang w:val="en-US" w:eastAsia="zh-CN"/>
        </w:rPr>
        <w:t>”为目标，不断提升生态环境质量，建立健全生态环境治理体系，系统修复生态空间，推动资源节约与低碳发展，牢牢守住生态底线，推动绿色低碳发展，加强生态文明建设。</w:t>
      </w:r>
    </w:p>
    <w:p w14:paraId="6A2C6331">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3" w:name="_Toc32639"/>
      <w:r>
        <w:rPr>
          <w:rFonts w:hint="eastAsia"/>
          <w:b w:val="0"/>
          <w:bCs/>
          <w:highlight w:val="none"/>
          <w:lang w:val="en-US" w:eastAsia="zh-CN"/>
        </w:rPr>
        <w:t>第一节 持续巩固生态治理成效</w:t>
      </w:r>
      <w:bookmarkEnd w:id="83"/>
    </w:p>
    <w:p w14:paraId="38F6B2A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持续改善大气环境质量，坚持以环境空气质量持续改善为核心，着力推进发展方式转变，强化秸秆禁烧与综合利用，推进散煤治理与清洁能源替代，加强颗粒物和臭氧污染防治。提升水生态环境质量力度，推进重点流域综合治理，加强饮用水水源地保护，强化城市污水处理，深化工业水污染管控防治，深入推进城乡黑臭水体治理。到</w:t>
      </w:r>
      <w:r>
        <w:rPr>
          <w:rFonts w:hint="eastAsia" w:ascii="Times New Roman" w:hAnsi="Times New Roman" w:eastAsia="仿宋_GB2312" w:cs="Times New Roman"/>
          <w:spacing w:val="7"/>
          <w:sz w:val="32"/>
          <w:szCs w:val="32"/>
          <w:highlight w:val="none"/>
          <w:lang w:val="en-US" w:eastAsia="zh-CN"/>
        </w:rPr>
        <w:t>2030年，入河排污口溯源整治率达到100%，</w:t>
      </w:r>
      <w:r>
        <w:rPr>
          <w:rFonts w:hint="eastAsia" w:ascii="仿宋_GB2312" w:hAnsi="仿宋_GB2312" w:eastAsia="仿宋_GB2312" w:cs="仿宋_GB2312"/>
          <w:spacing w:val="7"/>
          <w:sz w:val="32"/>
          <w:szCs w:val="32"/>
          <w:highlight w:val="none"/>
          <w:lang w:val="en-US" w:eastAsia="zh-CN"/>
        </w:rPr>
        <w:t>持续深入推进美丽河湖建设。持续改善土壤环境质量，实施土壤污染源头防控行动，加强农业面源污染防治，严控重金属污染，强化危险废物监管和利用处置，推进工业固体废物治理。确保受污染耕地安全利用得到有效保障。</w:t>
      </w:r>
    </w:p>
    <w:p w14:paraId="575B4450">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表16  生态治理工程</w:t>
      </w:r>
    </w:p>
    <w:p w14:paraId="0D5E80B8">
      <w:pPr>
        <w:spacing w:line="37" w:lineRule="auto"/>
        <w:rPr>
          <w:rFonts w:ascii="Arial"/>
          <w:sz w:val="2"/>
          <w:highlight w:val="none"/>
        </w:rPr>
      </w:pPr>
    </w:p>
    <w:tbl>
      <w:tblPr>
        <w:tblStyle w:val="13"/>
        <w:tblW w:w="834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5"/>
        <w:gridCol w:w="6549"/>
      </w:tblGrid>
      <w:tr w14:paraId="49773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795" w:type="dxa"/>
            <w:tcBorders>
              <w:top w:val="single" w:color="000000" w:sz="10" w:space="0"/>
              <w:left w:val="nil"/>
              <w:bottom w:val="single" w:color="000000" w:sz="10" w:space="0"/>
            </w:tcBorders>
            <w:vAlign w:val="top"/>
          </w:tcPr>
          <w:p w14:paraId="088787E3">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6549" w:type="dxa"/>
            <w:tcBorders>
              <w:top w:val="single" w:color="000000" w:sz="10" w:space="0"/>
              <w:bottom w:val="single" w:color="000000" w:sz="10" w:space="0"/>
              <w:right w:val="nil"/>
            </w:tcBorders>
            <w:vAlign w:val="top"/>
          </w:tcPr>
          <w:p w14:paraId="59A92DD9">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重点工作任务</w:t>
            </w:r>
          </w:p>
        </w:tc>
      </w:tr>
      <w:tr w14:paraId="2FA93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 w:hRule="atLeast"/>
        </w:trPr>
        <w:tc>
          <w:tcPr>
            <w:tcW w:w="1795" w:type="dxa"/>
            <w:tcBorders>
              <w:top w:val="single" w:color="000000" w:sz="10" w:space="0"/>
              <w:left w:val="nil"/>
            </w:tcBorders>
            <w:vAlign w:val="center"/>
          </w:tcPr>
          <w:p w14:paraId="4EE3FF3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大气环境改善</w:t>
            </w:r>
          </w:p>
        </w:tc>
        <w:tc>
          <w:tcPr>
            <w:tcW w:w="6549" w:type="dxa"/>
            <w:tcBorders>
              <w:top w:val="single" w:color="000000" w:sz="10" w:space="0"/>
              <w:right w:val="nil"/>
            </w:tcBorders>
            <w:vAlign w:val="top"/>
          </w:tcPr>
          <w:p w14:paraId="2D99EA4C">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强化秸秆禁烧与综合利用，推进散煤治理与清洁能源替代，</w:t>
            </w:r>
          </w:p>
          <w:p w14:paraId="0B0A673E">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加强细颗粒物和臭氧污染防治，管控车油与其他涉气污染物</w:t>
            </w:r>
          </w:p>
        </w:tc>
      </w:tr>
      <w:tr w14:paraId="1A2EB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795" w:type="dxa"/>
            <w:tcBorders>
              <w:left w:val="nil"/>
            </w:tcBorders>
            <w:vAlign w:val="center"/>
          </w:tcPr>
          <w:p w14:paraId="09C450BB">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p>
          <w:p w14:paraId="1D7D7EC3">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水环境改善</w:t>
            </w:r>
          </w:p>
        </w:tc>
        <w:tc>
          <w:tcPr>
            <w:tcW w:w="6549" w:type="dxa"/>
            <w:tcBorders>
              <w:right w:val="nil"/>
            </w:tcBorders>
            <w:vAlign w:val="top"/>
          </w:tcPr>
          <w:p w14:paraId="07EBD143">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推进重点流域综合治理，加强饮用水水源地保护，深化工业</w:t>
            </w:r>
          </w:p>
          <w:p w14:paraId="584FB4A4">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水污染管控防治，到2030年，入河排污口溯源整治率达到100%</w:t>
            </w:r>
          </w:p>
        </w:tc>
      </w:tr>
      <w:tr w14:paraId="7995B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 w:hRule="atLeast"/>
        </w:trPr>
        <w:tc>
          <w:tcPr>
            <w:tcW w:w="1795" w:type="dxa"/>
            <w:tcBorders>
              <w:left w:val="nil"/>
              <w:bottom w:val="single" w:color="000000" w:sz="10" w:space="0"/>
            </w:tcBorders>
            <w:vAlign w:val="center"/>
          </w:tcPr>
          <w:p w14:paraId="0964E73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土壤环境改善</w:t>
            </w:r>
          </w:p>
        </w:tc>
        <w:tc>
          <w:tcPr>
            <w:tcW w:w="6549" w:type="dxa"/>
            <w:tcBorders>
              <w:bottom w:val="single" w:color="000000" w:sz="10" w:space="0"/>
              <w:right w:val="nil"/>
            </w:tcBorders>
            <w:vAlign w:val="top"/>
          </w:tcPr>
          <w:p w14:paraId="6DF9B081">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实施土壤污染源头防控行动，加强农业面源污染防治，严控</w:t>
            </w:r>
          </w:p>
          <w:p w14:paraId="1BB3F99A">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重金属污染，强化危险废物监管和利用处置，推进工业固体</w:t>
            </w:r>
          </w:p>
          <w:p w14:paraId="18FA3D3E">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废物治理。确保受污染耕地安全利用得到有效保障</w:t>
            </w:r>
          </w:p>
        </w:tc>
      </w:tr>
    </w:tbl>
    <w:p w14:paraId="1695DA7F">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z w:val="32"/>
          <w:szCs w:val="32"/>
          <w:highlight w:val="none"/>
        </w:rPr>
      </w:pPr>
    </w:p>
    <w:p w14:paraId="02561D12">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4" w:name="_Toc32346"/>
      <w:r>
        <w:rPr>
          <w:rFonts w:hint="eastAsia"/>
          <w:b w:val="0"/>
          <w:bCs/>
          <w:highlight w:val="none"/>
          <w:lang w:val="en-US" w:eastAsia="zh-CN"/>
        </w:rPr>
        <w:t>第二节 系统修复生态空间</w:t>
      </w:r>
      <w:bookmarkEnd w:id="84"/>
    </w:p>
    <w:p w14:paraId="2D53B25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牢固树立“绿水青山就是金山银山”“山水林田湖草是一个生命共同体”的重要理念，统筹山水林田湖草沙一体化保护和系统治理举措。聚焦影响人居环境的矿山环境问题，分类施策，持续推进历史遗留废弃矿山治理、生态修复、补充耕地等项目，以“生态建设”示范引领推动我区高质量发展。推进关闭矿山修复，对保留升级的矿山采取“边开采、边治理”的方式。实施侵蚀沟治理工程，推进扁石河、支援水库等重点区域流域治理，推进水土流失综合治理。开展大规模国土绿化行动，推进天然林保护和生态治理，加强重要水源涵养区水源涵养功能维护</w:t>
      </w:r>
      <w:r>
        <w:rPr>
          <w:rFonts w:hint="eastAsia" w:ascii="Times New Roman" w:hAnsi="Times New Roman" w:eastAsia="仿宋_GB2312" w:cs="Times New Roman"/>
          <w:spacing w:val="7"/>
          <w:sz w:val="32"/>
          <w:szCs w:val="32"/>
          <w:highlight w:val="none"/>
          <w:lang w:val="en-US" w:eastAsia="zh-CN"/>
        </w:rPr>
        <w:t>。2030</w:t>
      </w:r>
      <w:r>
        <w:rPr>
          <w:rFonts w:hint="eastAsia" w:ascii="仿宋_GB2312" w:hAnsi="仿宋_GB2312" w:eastAsia="仿宋_GB2312" w:cs="仿宋_GB2312"/>
          <w:spacing w:val="7"/>
          <w:sz w:val="32"/>
          <w:szCs w:val="32"/>
          <w:highlight w:val="none"/>
          <w:lang w:val="en-US" w:eastAsia="zh-CN"/>
        </w:rPr>
        <w:t>年森林覆盖</w:t>
      </w:r>
      <w:r>
        <w:rPr>
          <w:rFonts w:hint="eastAsia" w:ascii="Times New Roman" w:hAnsi="Times New Roman" w:eastAsia="仿宋_GB2312" w:cs="Times New Roman"/>
          <w:spacing w:val="7"/>
          <w:sz w:val="32"/>
          <w:szCs w:val="32"/>
          <w:highlight w:val="none"/>
          <w:lang w:val="en-US" w:eastAsia="zh-CN"/>
        </w:rPr>
        <w:t>率达40%以上。</w:t>
      </w:r>
    </w:p>
    <w:p w14:paraId="15729C7C">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表17  生态修复工程</w:t>
      </w:r>
    </w:p>
    <w:p w14:paraId="0C822DAD">
      <w:pPr>
        <w:spacing w:line="94" w:lineRule="auto"/>
        <w:rPr>
          <w:rFonts w:ascii="Arial"/>
          <w:sz w:val="2"/>
          <w:highlight w:val="none"/>
        </w:rPr>
      </w:pPr>
    </w:p>
    <w:tbl>
      <w:tblPr>
        <w:tblStyle w:val="13"/>
        <w:tblW w:w="834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1"/>
        <w:gridCol w:w="7333"/>
      </w:tblGrid>
      <w:tr w14:paraId="2291D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011" w:type="dxa"/>
            <w:tcBorders>
              <w:top w:val="single" w:color="000000" w:sz="10" w:space="0"/>
              <w:left w:val="nil"/>
              <w:bottom w:val="single" w:color="000000" w:sz="10" w:space="0"/>
            </w:tcBorders>
            <w:vAlign w:val="top"/>
          </w:tcPr>
          <w:p w14:paraId="274E562A">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333" w:type="dxa"/>
            <w:tcBorders>
              <w:top w:val="single" w:color="000000" w:sz="10" w:space="0"/>
              <w:bottom w:val="single" w:color="000000" w:sz="10" w:space="0"/>
              <w:right w:val="nil"/>
            </w:tcBorders>
            <w:vAlign w:val="top"/>
          </w:tcPr>
          <w:p w14:paraId="60AC3C83">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w:t>
            </w:r>
          </w:p>
        </w:tc>
      </w:tr>
      <w:tr w14:paraId="051D6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011" w:type="dxa"/>
            <w:tcBorders>
              <w:top w:val="single" w:color="000000" w:sz="10" w:space="0"/>
              <w:left w:val="nil"/>
            </w:tcBorders>
            <w:vAlign w:val="center"/>
          </w:tcPr>
          <w:p w14:paraId="07F7AE83">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流域治理</w:t>
            </w:r>
          </w:p>
        </w:tc>
        <w:tc>
          <w:tcPr>
            <w:tcW w:w="7333" w:type="dxa"/>
            <w:tcBorders>
              <w:top w:val="single" w:color="000000" w:sz="10" w:space="0"/>
              <w:right w:val="nil"/>
            </w:tcBorders>
            <w:vAlign w:val="top"/>
          </w:tcPr>
          <w:p w14:paraId="6872E90A">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推进扁石河、支援水库等重点区域流域水道治理，拟实施宝山区侵蚀沟治理工程项目、双鸭山农场七星河、扁石河治理工程项目；双鸭山农场河道治理工程项目</w:t>
            </w:r>
          </w:p>
        </w:tc>
      </w:tr>
      <w:tr w14:paraId="01210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011" w:type="dxa"/>
            <w:tcBorders>
              <w:left w:val="nil"/>
              <w:bottom w:val="single" w:color="000000" w:sz="10" w:space="0"/>
            </w:tcBorders>
            <w:vAlign w:val="center"/>
          </w:tcPr>
          <w:p w14:paraId="4E29C9A0">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土地复垦</w:t>
            </w:r>
          </w:p>
        </w:tc>
        <w:tc>
          <w:tcPr>
            <w:tcW w:w="7333" w:type="dxa"/>
            <w:tcBorders>
              <w:bottom w:val="single" w:color="000000" w:sz="10" w:space="0"/>
              <w:right w:val="nil"/>
            </w:tcBorders>
            <w:vAlign w:val="top"/>
          </w:tcPr>
          <w:p w14:paraId="495782B5">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推进历史遗留废弃矿山治理项目，拟实</w:t>
            </w:r>
            <w:r>
              <w:rPr>
                <w:rFonts w:hint="eastAsia" w:ascii="仿宋_GB2312" w:hAnsi="仿宋_GB2312" w:eastAsia="仿宋_GB2312" w:cs="仿宋_GB2312"/>
                <w:color w:val="000000" w:themeColor="text1"/>
                <w:spacing w:val="5"/>
                <w:sz w:val="24"/>
                <w:szCs w:val="24"/>
                <w:highlight w:val="none"/>
                <w:lang w:val="en-US" w:eastAsia="zh-CN"/>
                <w14:textFill>
                  <w14:solidFill>
                    <w14:schemeClr w14:val="tx1"/>
                  </w14:solidFill>
                </w14:textFill>
              </w:rPr>
              <w:t>施宝山区采沉区腾空地复垦项目、双鸭山衣场有限公司塌陷坑治理项目</w:t>
            </w:r>
          </w:p>
        </w:tc>
      </w:tr>
    </w:tbl>
    <w:p w14:paraId="020F4BC9">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z w:val="32"/>
          <w:szCs w:val="32"/>
          <w:highlight w:val="none"/>
        </w:rPr>
      </w:pPr>
    </w:p>
    <w:p w14:paraId="04A628E9">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5" w:name="_Toc30756"/>
      <w:r>
        <w:rPr>
          <w:rFonts w:hint="eastAsia"/>
          <w:b w:val="0"/>
          <w:bCs/>
          <w:highlight w:val="none"/>
          <w:lang w:val="en-US" w:eastAsia="zh-CN"/>
        </w:rPr>
        <w:t>第三节 推动绿色低碳发展</w:t>
      </w:r>
      <w:bookmarkEnd w:id="85"/>
    </w:p>
    <w:p w14:paraId="350D5FA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优化新能源结构。加快发展非化石能源，降低化石能源消费。提升清洁能源供给能力，构建以风力发电及光伏发电为基础，以稳定安全可靠的接入设施为载体的新能源供给消纳体系。调整用能结构，通过增大新能源电力配给，压减煤炭消费量。鼓励企业采购绿色电力，鼓励重点用能领域以绿色能源为主满足用能需求。实施节能降碳行动，推动能耗“双控”逐步转向“碳排放”双控，加快工业绿色化转型升级，推动化工产业、机械制造等重点行业实现二氧化碳排放达峰。加快建筑领域绿色转型，扩大绿色建材应用范围，推进既有建筑节能和绿色低碳化改造。鼓励企业参与碳配额交易，倡导绿色生活方式，建设低碳城市。</w:t>
      </w:r>
    </w:p>
    <w:p w14:paraId="6EABE1E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推动绿色低碳发展。推进资源节约与高效利用，加强工业等领域节能管理，推广清洁能源和技术，严格节能审查与“两高”项目管理。发展可再生能源，优化用能结构，对重点用能单位开展节能降碳诊断，推进节能改造。加强工业固废资源化利用，鼓励技术创新，培育相关产业。促进资源节约循环高效利用。分类管理精细化、投放环境精致化、科技赋能精良化、回收服务精致化，提高资源利用效率。加强生活垃圾分类和减量化、资源化，提升生活垃圾分</w:t>
      </w:r>
      <w:r>
        <w:rPr>
          <w:rFonts w:hint="eastAsia" w:ascii="Times New Roman" w:hAnsi="Times New Roman" w:eastAsia="仿宋_GB2312" w:cs="Times New Roman"/>
          <w:spacing w:val="7"/>
          <w:sz w:val="32"/>
          <w:szCs w:val="32"/>
          <w:highlight w:val="none"/>
          <w:lang w:val="en-US" w:eastAsia="zh-CN"/>
        </w:rPr>
        <w:t>类管理水平。2030年，城市生活垃圾资源化利用率达到65%。</w:t>
      </w:r>
    </w:p>
    <w:p w14:paraId="7767D35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确保如期实现碳达峰目标。推动重点用能企业实现二氧化碳排放达峰，鼓励企业制定行动方案、实施碳减排示范工程，支持企业低碳技术创新与降碳行动，将碳达峰贯穿发展全过程，梯次推进。加强能源管理，推进重点领域和企业节能改造，提高效率，鼓励企业通过节能减排参与碳配额交易。推进低碳城市建设，倡导绿色生活，营造全社会参与氛围。</w:t>
      </w:r>
    </w:p>
    <w:p w14:paraId="01FEA07E">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表18  绿色低碳发展工程</w:t>
      </w:r>
    </w:p>
    <w:p w14:paraId="12748F71">
      <w:pPr>
        <w:spacing w:line="86" w:lineRule="auto"/>
        <w:rPr>
          <w:rFonts w:ascii="Arial"/>
          <w:sz w:val="2"/>
          <w:highlight w:val="none"/>
        </w:rPr>
      </w:pPr>
    </w:p>
    <w:tbl>
      <w:tblPr>
        <w:tblStyle w:val="13"/>
        <w:tblW w:w="8241" w:type="dxa"/>
        <w:tblInd w:w="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2"/>
        <w:gridCol w:w="6699"/>
      </w:tblGrid>
      <w:tr w14:paraId="673D8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542" w:type="dxa"/>
            <w:tcBorders>
              <w:top w:val="single" w:color="000000" w:sz="10" w:space="0"/>
              <w:left w:val="nil"/>
              <w:bottom w:val="single" w:color="000000" w:sz="10" w:space="0"/>
            </w:tcBorders>
            <w:vAlign w:val="top"/>
          </w:tcPr>
          <w:p w14:paraId="7E445DF0">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6699" w:type="dxa"/>
            <w:tcBorders>
              <w:top w:val="single" w:color="000000" w:sz="10" w:space="0"/>
              <w:bottom w:val="single" w:color="000000" w:sz="10" w:space="0"/>
              <w:right w:val="nil"/>
            </w:tcBorders>
            <w:vAlign w:val="top"/>
          </w:tcPr>
          <w:p w14:paraId="2A57274C">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重点任务及工作方向</w:t>
            </w:r>
          </w:p>
        </w:tc>
      </w:tr>
      <w:tr w14:paraId="55B63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542" w:type="dxa"/>
            <w:tcBorders>
              <w:top w:val="single" w:color="000000" w:sz="10" w:space="0"/>
              <w:left w:val="nil"/>
              <w:bottom w:val="single" w:color="000000" w:sz="2" w:space="0"/>
              <w:right w:val="single" w:color="000000" w:sz="2" w:space="0"/>
            </w:tcBorders>
            <w:vAlign w:val="center"/>
          </w:tcPr>
          <w:p w14:paraId="4E697D0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优化能源结构</w:t>
            </w:r>
          </w:p>
        </w:tc>
        <w:tc>
          <w:tcPr>
            <w:tcW w:w="6699" w:type="dxa"/>
            <w:tcBorders>
              <w:top w:val="single" w:color="000000" w:sz="10" w:space="0"/>
              <w:left w:val="single" w:color="000000" w:sz="2" w:space="0"/>
              <w:bottom w:val="single" w:color="000000" w:sz="2" w:space="0"/>
              <w:right w:val="nil"/>
            </w:tcBorders>
            <w:vAlign w:val="top"/>
          </w:tcPr>
          <w:p w14:paraId="179834A1">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加大对重点用能单位节能改造力度，鼓励重点用能企业采购绿电。推动能耗“双控”逐步转向“碳排放”双控</w:t>
            </w:r>
          </w:p>
        </w:tc>
      </w:tr>
      <w:tr w14:paraId="047A7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1542" w:type="dxa"/>
            <w:tcBorders>
              <w:top w:val="single" w:color="000000" w:sz="2" w:space="0"/>
              <w:left w:val="nil"/>
              <w:bottom w:val="single" w:color="000000" w:sz="2" w:space="0"/>
              <w:right w:val="single" w:color="000000" w:sz="2" w:space="0"/>
            </w:tcBorders>
            <w:vAlign w:val="center"/>
          </w:tcPr>
          <w:p w14:paraId="7DC34454">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资源循环利用</w:t>
            </w:r>
          </w:p>
        </w:tc>
        <w:tc>
          <w:tcPr>
            <w:tcW w:w="6699" w:type="dxa"/>
            <w:tcBorders>
              <w:top w:val="single" w:color="000000" w:sz="2" w:space="0"/>
              <w:left w:val="single" w:color="000000" w:sz="2" w:space="0"/>
              <w:bottom w:val="single" w:color="000000" w:sz="2" w:space="0"/>
              <w:right w:val="nil"/>
            </w:tcBorders>
            <w:vAlign w:val="top"/>
          </w:tcPr>
          <w:p w14:paraId="29A8952B">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持续做好垃圾分类及减量化、资源化利用，2030年生活垃圾资源化利用率达到65%。实施宝山区建筑垃圾转运场建设项目</w:t>
            </w:r>
          </w:p>
        </w:tc>
      </w:tr>
      <w:tr w14:paraId="17115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1542" w:type="dxa"/>
            <w:tcBorders>
              <w:top w:val="single" w:color="000000" w:sz="2" w:space="0"/>
              <w:left w:val="nil"/>
              <w:right w:val="single" w:color="000000" w:sz="2" w:space="0"/>
            </w:tcBorders>
            <w:vAlign w:val="center"/>
          </w:tcPr>
          <w:p w14:paraId="78F46052">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绿色低碳发展</w:t>
            </w:r>
          </w:p>
        </w:tc>
        <w:tc>
          <w:tcPr>
            <w:tcW w:w="6699" w:type="dxa"/>
            <w:tcBorders>
              <w:top w:val="single" w:color="000000" w:sz="2" w:space="0"/>
              <w:left w:val="single" w:color="000000" w:sz="2" w:space="0"/>
              <w:right w:val="nil"/>
            </w:tcBorders>
            <w:vAlign w:val="top"/>
          </w:tcPr>
          <w:p w14:paraId="2F1F7932">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严格节能审查与“两高”项目管理。加强工业固废资源化利用，鼓励技术创新，培育相关产业。宝山区垃圾转运站及厂房维修，设备升级与车辆更换项目</w:t>
            </w:r>
          </w:p>
        </w:tc>
      </w:tr>
    </w:tbl>
    <w:p w14:paraId="533A9843">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6" w:name="_Toc10025"/>
    </w:p>
    <w:p w14:paraId="40C84293">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r>
        <w:rPr>
          <w:rFonts w:hint="eastAsia"/>
          <w:b w:val="0"/>
          <w:bCs/>
          <w:highlight w:val="none"/>
          <w:lang w:val="en-US" w:eastAsia="zh-CN"/>
        </w:rPr>
        <w:t>第四节 加强生态文明建设</w:t>
      </w:r>
      <w:bookmarkEnd w:id="86"/>
    </w:p>
    <w:p w14:paraId="6AD11F4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加强生态文明建设，推进绿色低碳发展。深入践行绿水青山就是金山银山的理念，协同推进降碳、减污、扩绿、增长，建设人与自然和谐共生的美丽宝山。</w:t>
      </w:r>
    </w:p>
    <w:p w14:paraId="1724C0C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增强全民生态文明意识。积极培育生态文化、生态道德，使生态文明成为社会主流价值观，成为社会主义核心价值观的重要内容。从娃娃和青少年抓起，从家庭、学校教育抓起，引导全社会树立生态文明意识。把生态文明教育作为素质教育的重要内容。组织好世界地球日、世界环境日和全国节能宣传周等主题宣传活动。充分发挥新媒体及自媒体作用，树立理性、积极的舆论导向，加强资源环境国情宣传，普及生态文明法律法规、科学知识等，报道先进典型，曝光反面事例，增强公众节约意识、环保意识、生态意识，形成人人、事事、时时崇尚生态文明的社会氛围。</w:t>
      </w:r>
    </w:p>
    <w:p w14:paraId="36FA2FE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培育绿色生活方式。倡导勤俭节约的消费观，广泛开展绿色生活行动，推动全民在衣、食、住、行、游等方面加快向勤俭节约、绿色低碳、文明健康的方式转变，坚决抵制和反对各种形式的奢侈浪费、不合理消费。积极引导消费者购买节能与新能源汽车、高能效家电、节水型器具等节能环保低碳产品，减少一次性用品的使用，限制过度包装。大力推广绿色低碳出行，倡导绿色生活和休闲模式，严格限制发展高耗能、高耗水服务业。在餐饮企业、单位食堂、家庭全方位开展反食品浪费行动。党政机关、国有企业带头厉行勤俭节约。</w:t>
      </w:r>
    </w:p>
    <w:p w14:paraId="411920E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鼓励公众积极参与。完善公众参与制度，及时准确披露各类环境信息，保障公众知情权，维护公众环境权益。健全举报、听证、舆论和公众监督等制度，构建全民参与的行动体系。建立环境公益诉讼制度，对污染环境、破坏生态的行为，有关组织可提起公益诉讼。在项目立项、实施等环节，有序增强公众参与程度。引导生态文明建设领域各类社会组织健康有序发展，发挥民间组织和志愿者的积极作用。</w:t>
      </w:r>
    </w:p>
    <w:p w14:paraId="1421EF01">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87" w:name="_Toc1692"/>
      <w:r>
        <w:rPr>
          <w:rFonts w:hint="eastAsia" w:ascii="方正小标宋简体" w:hAnsi="方正小标宋简体" w:eastAsia="方正小标宋简体" w:cs="方正小标宋简体"/>
          <w:b w:val="0"/>
          <w:bCs/>
          <w:sz w:val="36"/>
          <w:szCs w:val="36"/>
          <w:highlight w:val="none"/>
          <w:lang w:val="en-US" w:eastAsia="zh-CN"/>
        </w:rPr>
        <w:t>第十章  构建现代基建体系 夯实高质量发展支撑</w:t>
      </w:r>
      <w:bookmarkEnd w:id="87"/>
    </w:p>
    <w:p w14:paraId="6E803F7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7"/>
          <w:sz w:val="32"/>
          <w:szCs w:val="32"/>
          <w:highlight w:val="none"/>
          <w:lang w:val="en-US" w:eastAsia="zh-CN"/>
        </w:rPr>
        <w:t>坚</w:t>
      </w:r>
      <w:r>
        <w:rPr>
          <w:rFonts w:hint="eastAsia" w:ascii="仿宋_GB2312" w:hAnsi="仿宋_GB2312" w:eastAsia="仿宋_GB2312" w:cs="仿宋_GB2312"/>
          <w:spacing w:val="7"/>
          <w:sz w:val="32"/>
          <w:szCs w:val="32"/>
          <w:highlight w:val="none"/>
          <w:lang w:val="en-US" w:eastAsia="en-US"/>
        </w:rPr>
        <w:t>持“立足长远，适度超前，科学规划，多轮驱动，注重效益”来统筹当前与长远，统筹发展和安全，围绕新基建、综合交通、水利、能源等关键领域，统筹规划、协同发力，全面加强基础设施建设，构建现代化基础设施体系。</w:t>
      </w:r>
    </w:p>
    <w:p w14:paraId="794D6CE7">
      <w:pPr>
        <w:pStyle w:val="3"/>
        <w:keepNext/>
        <w:keepLines/>
        <w:pageBreakBefore w:val="0"/>
        <w:widowControl/>
        <w:numPr>
          <w:ilvl w:val="0"/>
          <w:numId w:val="1"/>
        </w:numPr>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88" w:name="bookmark84"/>
      <w:bookmarkEnd w:id="88"/>
      <w:bookmarkStart w:id="89" w:name="_Toc7596"/>
      <w:r>
        <w:rPr>
          <w:rFonts w:hint="eastAsia"/>
          <w:b w:val="0"/>
          <w:bCs/>
          <w:highlight w:val="none"/>
          <w:lang w:val="en-US" w:eastAsia="zh-CN"/>
        </w:rPr>
        <w:t>推进基础设施建设</w:t>
      </w:r>
      <w:bookmarkEnd w:id="89"/>
    </w:p>
    <w:p w14:paraId="051CEB7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快促进城市结构优化和动能转换，全面查找城区结构、功能、品质短板问题，依托全市老旧小区改造工程，分类分步合理纳入全市基础设施项目改造规划。关注“一老一小”需求，因地制宜补齐适老、适幼等嵌入式服务设施短板，推进城市结构优化、功能完善、品质提升。加快城市现代化基础设施体系建设，推进以C、D级危房为重点的闲置平房安置工作，采取建档预安置与异地安置相结合的方式，尽最大努力消除现有平房存量。提升居民用水质量，持续完善排水设施建设，完善主城区广场文化功能，满足群众文化娱乐活动需求。</w:t>
      </w:r>
    </w:p>
    <w:p w14:paraId="23C22FA8">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表19  高品质城区建设工程</w:t>
      </w:r>
    </w:p>
    <w:p w14:paraId="310B5367">
      <w:pPr>
        <w:spacing w:line="56" w:lineRule="auto"/>
        <w:rPr>
          <w:rFonts w:ascii="Arial"/>
          <w:sz w:val="2"/>
          <w:highlight w:val="none"/>
        </w:rPr>
      </w:pPr>
    </w:p>
    <w:tbl>
      <w:tblPr>
        <w:tblStyle w:val="13"/>
        <w:tblW w:w="8326"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7362"/>
      </w:tblGrid>
      <w:tr w14:paraId="64750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964" w:type="dxa"/>
            <w:tcBorders>
              <w:top w:val="single" w:color="000000" w:sz="10" w:space="0"/>
              <w:left w:val="nil"/>
              <w:bottom w:val="single" w:color="000000" w:sz="10" w:space="0"/>
            </w:tcBorders>
            <w:vAlign w:val="top"/>
          </w:tcPr>
          <w:p w14:paraId="3B95EA09">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类别</w:t>
            </w:r>
          </w:p>
        </w:tc>
        <w:tc>
          <w:tcPr>
            <w:tcW w:w="7362" w:type="dxa"/>
            <w:tcBorders>
              <w:top w:val="single" w:color="000000" w:sz="10" w:space="0"/>
              <w:bottom w:val="single" w:color="000000" w:sz="10" w:space="0"/>
              <w:right w:val="nil"/>
            </w:tcBorders>
            <w:vAlign w:val="top"/>
          </w:tcPr>
          <w:p w14:paraId="39C9C5F7">
            <w:pPr>
              <w:spacing w:before="122" w:line="229" w:lineRule="auto"/>
              <w:jc w:val="center"/>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重点</w:t>
            </w:r>
            <w:r>
              <w:rPr>
                <w:rFonts w:hint="eastAsia" w:ascii="黑体" w:hAnsi="黑体" w:eastAsia="黑体" w:cs="黑体"/>
                <w:b w:val="0"/>
                <w:bCs w:val="0"/>
                <w:spacing w:val="2"/>
                <w:sz w:val="24"/>
                <w:szCs w:val="24"/>
                <w:highlight w:val="none"/>
                <w:lang w:val="en-US" w:eastAsia="zh-CN"/>
              </w:rPr>
              <w:t>工作或重点实施</w:t>
            </w:r>
            <w:r>
              <w:rPr>
                <w:rFonts w:hint="eastAsia" w:ascii="黑体" w:hAnsi="黑体" w:eastAsia="黑体" w:cs="黑体"/>
                <w:b w:val="0"/>
                <w:bCs w:val="0"/>
                <w:spacing w:val="2"/>
                <w:sz w:val="24"/>
                <w:szCs w:val="24"/>
                <w:highlight w:val="none"/>
              </w:rPr>
              <w:t>项目</w:t>
            </w:r>
          </w:p>
        </w:tc>
      </w:tr>
      <w:tr w14:paraId="2566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4" w:type="dxa"/>
            <w:tcBorders>
              <w:left w:val="nil"/>
              <w:bottom w:val="single" w:color="000000" w:sz="10" w:space="0"/>
            </w:tcBorders>
            <w:vAlign w:val="top"/>
          </w:tcPr>
          <w:p w14:paraId="08FE3285">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供水</w:t>
            </w:r>
          </w:p>
          <w:p w14:paraId="6104465A">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工程</w:t>
            </w:r>
          </w:p>
        </w:tc>
        <w:tc>
          <w:tcPr>
            <w:tcW w:w="7362" w:type="dxa"/>
            <w:tcBorders>
              <w:bottom w:val="single" w:color="000000" w:sz="10" w:space="0"/>
              <w:right w:val="nil"/>
            </w:tcBorders>
            <w:vAlign w:val="top"/>
          </w:tcPr>
          <w:p w14:paraId="09BEDF40">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cs="仿宋_GB2312"/>
                <w:spacing w:val="5"/>
                <w:sz w:val="24"/>
                <w:szCs w:val="24"/>
                <w:highlight w:val="none"/>
                <w:lang w:val="en-US" w:eastAsia="zh-CN"/>
              </w:rPr>
              <w:t>宝山区主城区及各矿区供水管网改造工程、宝山区净化水厂升级改造项目</w:t>
            </w:r>
          </w:p>
        </w:tc>
      </w:tr>
      <w:tr w14:paraId="011A1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964" w:type="dxa"/>
            <w:tcBorders>
              <w:top w:val="single" w:color="000000" w:sz="10" w:space="0"/>
              <w:left w:val="nil"/>
            </w:tcBorders>
            <w:vAlign w:val="top"/>
          </w:tcPr>
          <w:p w14:paraId="7335B887">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排水防洪工程</w:t>
            </w:r>
          </w:p>
        </w:tc>
        <w:tc>
          <w:tcPr>
            <w:tcW w:w="7362" w:type="dxa"/>
            <w:tcBorders>
              <w:top w:val="single" w:color="000000" w:sz="10" w:space="0"/>
              <w:right w:val="nil"/>
            </w:tcBorders>
            <w:vAlign w:val="top"/>
          </w:tcPr>
          <w:p w14:paraId="61328DF8">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cs="仿宋_GB2312"/>
                <w:spacing w:val="5"/>
                <w:sz w:val="24"/>
                <w:szCs w:val="24"/>
                <w:highlight w:val="none"/>
                <w:lang w:val="en-US" w:eastAsia="zh-CN"/>
              </w:rPr>
              <w:t>宝山区主城区及各矿区污水管网及附属设备改造工程项目、宝山区污水处理厂升级改造项目</w:t>
            </w:r>
          </w:p>
        </w:tc>
      </w:tr>
      <w:tr w14:paraId="13803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64" w:type="dxa"/>
            <w:tcBorders>
              <w:left w:val="nil"/>
            </w:tcBorders>
            <w:vAlign w:val="top"/>
          </w:tcPr>
          <w:p w14:paraId="4E043637">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供热</w:t>
            </w:r>
          </w:p>
          <w:p w14:paraId="0D43058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工程</w:t>
            </w:r>
          </w:p>
        </w:tc>
        <w:tc>
          <w:tcPr>
            <w:tcW w:w="7362" w:type="dxa"/>
            <w:tcBorders>
              <w:right w:val="nil"/>
            </w:tcBorders>
            <w:vAlign w:val="top"/>
          </w:tcPr>
          <w:p w14:paraId="7139D978">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cs="仿宋_GB2312"/>
                <w:spacing w:val="5"/>
                <w:sz w:val="24"/>
                <w:szCs w:val="24"/>
                <w:highlight w:val="none"/>
                <w:lang w:val="en-US" w:eastAsia="zh-CN"/>
              </w:rPr>
              <w:t>宝山区各矿区供热分户管网改造项目、宝山区各矿区设备升级改造项目</w:t>
            </w:r>
          </w:p>
        </w:tc>
      </w:tr>
      <w:tr w14:paraId="41D1E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64" w:type="dxa"/>
            <w:tcBorders>
              <w:left w:val="nil"/>
            </w:tcBorders>
            <w:vAlign w:val="top"/>
          </w:tcPr>
          <w:p w14:paraId="4C74D8A0">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垃圾</w:t>
            </w:r>
          </w:p>
          <w:p w14:paraId="7887059D">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处理</w:t>
            </w:r>
          </w:p>
        </w:tc>
        <w:tc>
          <w:tcPr>
            <w:tcW w:w="7362" w:type="dxa"/>
            <w:tcBorders>
              <w:right w:val="nil"/>
            </w:tcBorders>
            <w:vAlign w:val="top"/>
          </w:tcPr>
          <w:p w14:paraId="2FB4AFB3">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cs="仿宋_GB2312"/>
                <w:spacing w:val="5"/>
                <w:sz w:val="24"/>
                <w:szCs w:val="24"/>
                <w:highlight w:val="none"/>
                <w:lang w:val="en-US" w:eastAsia="zh-CN"/>
              </w:rPr>
              <w:t>宝山区垃圾转运站及厂房维修，设备升级与车辆更换项目</w:t>
            </w:r>
          </w:p>
        </w:tc>
      </w:tr>
      <w:tr w14:paraId="13086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964" w:type="dxa"/>
            <w:tcBorders>
              <w:left w:val="nil"/>
            </w:tcBorders>
            <w:vAlign w:val="top"/>
          </w:tcPr>
          <w:p w14:paraId="0FF65562">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住房</w:t>
            </w:r>
          </w:p>
          <w:p w14:paraId="6DF9EFF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保障</w:t>
            </w:r>
          </w:p>
          <w:p w14:paraId="40365359">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工程</w:t>
            </w:r>
          </w:p>
        </w:tc>
        <w:tc>
          <w:tcPr>
            <w:tcW w:w="7362" w:type="dxa"/>
            <w:tcBorders>
              <w:right w:val="nil"/>
            </w:tcBorders>
            <w:vAlign w:val="top"/>
          </w:tcPr>
          <w:p w14:paraId="104A48CA">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宝山区各矿区老旧小区改造及办公楼改造项目</w:t>
            </w:r>
            <w:r>
              <w:rPr>
                <w:rFonts w:hint="eastAsia" w:cs="仿宋_GB2312"/>
                <w:spacing w:val="5"/>
                <w:sz w:val="24"/>
                <w:szCs w:val="24"/>
                <w:highlight w:val="none"/>
                <w:lang w:val="en-US" w:eastAsia="zh-CN"/>
              </w:rPr>
              <w:t>、宝山区主城区、独立工矿区、森工农垦危旧平房改造安置项目</w:t>
            </w:r>
          </w:p>
        </w:tc>
      </w:tr>
      <w:tr w14:paraId="2A8FE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964" w:type="dxa"/>
            <w:tcBorders>
              <w:left w:val="nil"/>
            </w:tcBorders>
            <w:vAlign w:val="center"/>
          </w:tcPr>
          <w:p w14:paraId="1EC4F195">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城市亮化工程</w:t>
            </w:r>
          </w:p>
        </w:tc>
        <w:tc>
          <w:tcPr>
            <w:tcW w:w="7362" w:type="dxa"/>
            <w:tcBorders>
              <w:right w:val="nil"/>
            </w:tcBorders>
            <w:vAlign w:val="top"/>
          </w:tcPr>
          <w:p w14:paraId="149B54A9">
            <w:pPr>
              <w:spacing w:line="316"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宝山区主城区及各矿区公园、绿化、亮化工程项目</w:t>
            </w:r>
          </w:p>
        </w:tc>
      </w:tr>
      <w:tr w14:paraId="28DB9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964" w:type="dxa"/>
            <w:tcBorders>
              <w:left w:val="nil"/>
              <w:bottom w:val="single" w:color="000000" w:sz="10" w:space="0"/>
            </w:tcBorders>
            <w:vAlign w:val="top"/>
          </w:tcPr>
          <w:p w14:paraId="11A6A0F6">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智慧城市管理</w:t>
            </w:r>
          </w:p>
        </w:tc>
        <w:tc>
          <w:tcPr>
            <w:tcW w:w="7362" w:type="dxa"/>
            <w:tcBorders>
              <w:bottom w:val="single" w:color="000000" w:sz="10" w:space="0"/>
              <w:right w:val="nil"/>
            </w:tcBorders>
            <w:vAlign w:val="top"/>
          </w:tcPr>
          <w:p w14:paraId="4DF38513">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cs="仿宋_GB2312"/>
                <w:spacing w:val="5"/>
                <w:sz w:val="24"/>
                <w:szCs w:val="24"/>
                <w:highlight w:val="none"/>
                <w:lang w:val="en-US" w:eastAsia="zh-CN"/>
              </w:rPr>
              <w:t>宝山区主城区及矿区供水智慧水务及设备改造工程项目</w:t>
            </w:r>
          </w:p>
        </w:tc>
      </w:tr>
    </w:tbl>
    <w:p w14:paraId="47630E5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pacing w:val="7"/>
          <w:sz w:val="32"/>
          <w:szCs w:val="32"/>
          <w:highlight w:val="none"/>
          <w:lang w:val="en-US" w:eastAsia="en-US"/>
        </w:rPr>
      </w:pPr>
    </w:p>
    <w:p w14:paraId="6DD6E168">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en-US"/>
        </w:rPr>
        <w:t>加快数字基础设施建设</w:t>
      </w:r>
      <w:r>
        <w:rPr>
          <w:rFonts w:hint="eastAsia" w:ascii="仿宋_GB2312" w:hAnsi="仿宋_GB2312" w:eastAsia="仿宋_GB2312" w:cs="仿宋_GB2312"/>
          <w:spacing w:val="7"/>
          <w:sz w:val="32"/>
          <w:szCs w:val="32"/>
          <w:highlight w:val="none"/>
          <w:lang w:val="en-US" w:eastAsia="zh-CN"/>
        </w:rPr>
        <w:t>。“数字+讯”与全市同步高质量推</w:t>
      </w:r>
      <w:r>
        <w:rPr>
          <w:rFonts w:hint="eastAsia" w:ascii="Times New Roman" w:hAnsi="Times New Roman" w:eastAsia="仿宋_GB2312" w:cs="Times New Roman"/>
          <w:spacing w:val="7"/>
          <w:sz w:val="32"/>
          <w:szCs w:val="32"/>
          <w:highlight w:val="none"/>
          <w:lang w:val="en-US" w:eastAsia="zh-CN"/>
        </w:rPr>
        <w:t>进5G移动通信网络建设，扩大5G建站规模，加大5G</w:t>
      </w:r>
      <w:r>
        <w:rPr>
          <w:rFonts w:hint="eastAsia" w:ascii="仿宋_GB2312" w:hAnsi="仿宋_GB2312" w:eastAsia="仿宋_GB2312" w:cs="仿宋_GB2312"/>
          <w:spacing w:val="7"/>
          <w:sz w:val="32"/>
          <w:szCs w:val="32"/>
          <w:highlight w:val="none"/>
          <w:lang w:val="en-US" w:eastAsia="zh-CN"/>
        </w:rPr>
        <w:t>基站选址，用电等支持力度，推进重点区域、场景优先覆盖，加快多领域场景应用示范。推进超算、智算中心建设，提高算力与传统产业融合能力，提供多领域算力服务，推进城市建设及公共管理等重要领域数据共享。“数字+工”在工业领域加速推进数字化建设和应用，助推产业高质量发展，鼓励有能力的企业通过平台以公共数据开发利用和重点领域特色数据应用为切入点，构建数据流通体系，进一步培育数据要素生态，推动数据互联互通跨地域、跨平台、跨领域合作，构建数据运营新模式，有力助推全区大数据产业高质量发展。聚焦生产企业，不断加强相关人才培养</w:t>
      </w:r>
      <w:r>
        <w:rPr>
          <w:rFonts w:hint="eastAsia" w:ascii="Times New Roman" w:hAnsi="Times New Roman" w:eastAsia="仿宋_GB2312" w:cs="Times New Roman"/>
          <w:spacing w:val="7"/>
          <w:sz w:val="32"/>
          <w:szCs w:val="32"/>
          <w:highlight w:val="none"/>
          <w:lang w:val="en-US" w:eastAsia="zh-CN"/>
        </w:rPr>
        <w:t>，以直播、短视频等新媒体形式打造新IP，</w:t>
      </w:r>
      <w:r>
        <w:rPr>
          <w:rFonts w:hint="eastAsia" w:ascii="仿宋_GB2312" w:hAnsi="仿宋_GB2312" w:eastAsia="仿宋_GB2312" w:cs="仿宋_GB2312"/>
          <w:spacing w:val="7"/>
          <w:sz w:val="32"/>
          <w:szCs w:val="32"/>
          <w:highlight w:val="none"/>
          <w:lang w:val="en-US" w:eastAsia="zh-CN"/>
        </w:rPr>
        <w:t>不断激活行业发展潜能，带动区</w:t>
      </w:r>
      <w:r>
        <w:rPr>
          <w:rFonts w:hint="eastAsia" w:ascii="Times New Roman" w:hAnsi="Times New Roman" w:eastAsia="仿宋_GB2312" w:cs="Times New Roman"/>
          <w:spacing w:val="7"/>
          <w:sz w:val="32"/>
          <w:szCs w:val="32"/>
          <w:highlight w:val="none"/>
          <w:lang w:val="en-US" w:eastAsia="zh-CN"/>
        </w:rPr>
        <w:t>域GDP增</w:t>
      </w:r>
      <w:r>
        <w:rPr>
          <w:rFonts w:hint="eastAsia" w:ascii="仿宋_GB2312" w:hAnsi="仿宋_GB2312" w:eastAsia="仿宋_GB2312" w:cs="仿宋_GB2312"/>
          <w:spacing w:val="7"/>
          <w:sz w:val="32"/>
          <w:szCs w:val="32"/>
          <w:highlight w:val="none"/>
          <w:lang w:val="en-US" w:eastAsia="zh-CN"/>
        </w:rPr>
        <w:t>长，推动宝山区消费品“扬帆出海”。</w:t>
      </w:r>
      <w:bookmarkStart w:id="90" w:name="bookmark85"/>
      <w:bookmarkEnd w:id="90"/>
    </w:p>
    <w:p w14:paraId="127DA815">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1" w:name="_Toc1902"/>
      <w:r>
        <w:rPr>
          <w:rFonts w:hint="eastAsia"/>
          <w:b w:val="0"/>
          <w:bCs/>
          <w:highlight w:val="none"/>
          <w:lang w:val="en-US" w:eastAsia="zh-CN"/>
        </w:rPr>
        <w:t>第二节 完善交通运输设施</w:t>
      </w:r>
      <w:bookmarkEnd w:id="91"/>
    </w:p>
    <w:p w14:paraId="68217DD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持续优化完善城乡公路路网，农村公路路网、独立工矿区路网、企业连接路网，因地制宜、科学规划农村公路发展重点和建设时序，坚持做优增量、优化存量、统筹衔接，切实加强农村交通安全保障。扎实提升农村运输服务品质，让群众出行更加便捷、城乡物流更加畅通，围绕主城区、矿区、林区、垦区、村村通等重点区域实施道路升级改造工</w:t>
      </w:r>
      <w:r>
        <w:rPr>
          <w:rFonts w:hint="eastAsia" w:ascii="Times New Roman" w:hAnsi="Times New Roman" w:eastAsia="仿宋_GB2312" w:cs="Times New Roman"/>
          <w:spacing w:val="7"/>
          <w:sz w:val="32"/>
          <w:szCs w:val="32"/>
          <w:highlight w:val="none"/>
          <w:lang w:val="en-US" w:eastAsia="zh-CN"/>
        </w:rPr>
        <w:t>程，实施重点项目11个，</w:t>
      </w:r>
      <w:r>
        <w:rPr>
          <w:rFonts w:hint="eastAsia" w:ascii="仿宋_GB2312" w:hAnsi="仿宋_GB2312" w:eastAsia="仿宋_GB2312" w:cs="仿宋_GB2312"/>
          <w:spacing w:val="7"/>
          <w:sz w:val="32"/>
          <w:szCs w:val="32"/>
          <w:highlight w:val="none"/>
          <w:lang w:val="en-US" w:eastAsia="zh-CN"/>
        </w:rPr>
        <w:t>强化城区与乡镇互联互通能力，完善区域路网体系。</w:t>
      </w:r>
    </w:p>
    <w:p w14:paraId="5B729132">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表20  交通基础设施建设工程</w:t>
      </w:r>
    </w:p>
    <w:p w14:paraId="53C312E4">
      <w:pPr>
        <w:spacing w:line="71" w:lineRule="auto"/>
        <w:rPr>
          <w:rFonts w:ascii="Arial"/>
          <w:sz w:val="2"/>
          <w:highlight w:val="none"/>
        </w:rPr>
      </w:pP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1830"/>
        <w:gridCol w:w="5913"/>
      </w:tblGrid>
      <w:tr w14:paraId="02406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561" w:type="dxa"/>
            <w:tcBorders>
              <w:top w:val="single" w:color="000000" w:sz="10" w:space="0"/>
              <w:left w:val="nil"/>
              <w:bottom w:val="single" w:color="000000" w:sz="10" w:space="0"/>
            </w:tcBorders>
            <w:vAlign w:val="top"/>
          </w:tcPr>
          <w:p w14:paraId="5908DF0A">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1830" w:type="dxa"/>
            <w:tcBorders>
              <w:top w:val="single" w:color="000000" w:sz="10" w:space="0"/>
              <w:bottom w:val="single" w:color="000000" w:sz="10" w:space="0"/>
            </w:tcBorders>
            <w:vAlign w:val="top"/>
          </w:tcPr>
          <w:p w14:paraId="599C1516">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重点方向</w:t>
            </w:r>
          </w:p>
        </w:tc>
        <w:tc>
          <w:tcPr>
            <w:tcW w:w="5913" w:type="dxa"/>
            <w:tcBorders>
              <w:top w:val="single" w:color="000000" w:sz="10" w:space="0"/>
              <w:bottom w:val="single" w:color="000000" w:sz="10" w:space="0"/>
              <w:right w:val="nil"/>
            </w:tcBorders>
            <w:vAlign w:val="top"/>
          </w:tcPr>
          <w:p w14:paraId="291626F8">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w:t>
            </w:r>
          </w:p>
        </w:tc>
      </w:tr>
      <w:tr w14:paraId="19FCE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jc w:val="center"/>
        </w:trPr>
        <w:tc>
          <w:tcPr>
            <w:tcW w:w="561" w:type="dxa"/>
            <w:tcBorders>
              <w:left w:val="nil"/>
              <w:bottom w:val="single" w:color="000000" w:sz="10" w:space="0"/>
            </w:tcBorders>
            <w:vAlign w:val="center"/>
          </w:tcPr>
          <w:p w14:paraId="4994F47C">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公路工程</w:t>
            </w:r>
          </w:p>
        </w:tc>
        <w:tc>
          <w:tcPr>
            <w:tcW w:w="1830" w:type="dxa"/>
            <w:tcBorders>
              <w:bottom w:val="single" w:color="000000" w:sz="10" w:space="0"/>
            </w:tcBorders>
            <w:vAlign w:val="center"/>
          </w:tcPr>
          <w:p w14:paraId="0BE435E1">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分批次实施新建改扩建道路工程</w:t>
            </w:r>
          </w:p>
        </w:tc>
        <w:tc>
          <w:tcPr>
            <w:tcW w:w="5913" w:type="dxa"/>
            <w:tcBorders>
              <w:bottom w:val="single" w:color="000000" w:sz="10" w:space="0"/>
              <w:right w:val="nil"/>
            </w:tcBorders>
            <w:vAlign w:val="top"/>
          </w:tcPr>
          <w:p w14:paraId="6032B241">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宝山区七星镇道路建设项目(</w:t>
            </w:r>
            <w:r>
              <w:rPr>
                <w:rFonts w:hint="eastAsia" w:ascii="仿宋_GB2312" w:hAnsi="仿宋_GB2312" w:eastAsia="仿宋_GB2312" w:cs="仿宋_GB2312"/>
                <w:color w:val="4874CB" w:themeColor="accent1"/>
                <w:spacing w:val="5"/>
                <w:sz w:val="24"/>
                <w:szCs w:val="24"/>
                <w:highlight w:val="none"/>
                <w:lang w:val="en-US" w:eastAsia="zh-CN"/>
                <w14:textFill>
                  <w14:solidFill>
                    <w14:schemeClr w14:val="accent1"/>
                  </w14:solidFill>
                </w14:textFill>
              </w:rPr>
              <w:t>包含:宝山区七星镇华新村道路建设项目;宝山区七星镇宝山村道路建设项目</w:t>
            </w:r>
            <w:r>
              <w:rPr>
                <w:rFonts w:hint="eastAsia" w:ascii="仿宋_GB2312" w:hAnsi="仿宋_GB2312" w:eastAsia="仿宋_GB2312" w:cs="仿宋_GB2312"/>
                <w:spacing w:val="5"/>
                <w:sz w:val="24"/>
                <w:szCs w:val="24"/>
                <w:highlight w:val="none"/>
                <w:lang w:val="en-US" w:eastAsia="zh-CN"/>
              </w:rPr>
              <w:t>）；宝山区各矿区及主城区道路升级改造项目、</w:t>
            </w:r>
            <w:r>
              <w:rPr>
                <w:rFonts w:hint="eastAsia" w:ascii="仿宋_GB2312" w:hAnsi="仿宋_GB2312" w:eastAsia="仿宋_GB2312" w:cs="仿宋_GB2312"/>
                <w:spacing w:val="5"/>
                <w:sz w:val="24"/>
                <w:szCs w:val="24"/>
                <w:highlight w:val="yellow"/>
                <w:lang w:val="en-US" w:eastAsia="zh-CN"/>
              </w:rPr>
              <w:t>双鸭山农场道路改造项目</w:t>
            </w:r>
          </w:p>
        </w:tc>
      </w:tr>
    </w:tbl>
    <w:p w14:paraId="2C581379">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z w:val="32"/>
          <w:szCs w:val="32"/>
          <w:highlight w:val="none"/>
        </w:rPr>
      </w:pPr>
    </w:p>
    <w:p w14:paraId="299BE22A">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2" w:name="bookmark86"/>
      <w:bookmarkEnd w:id="92"/>
      <w:bookmarkStart w:id="93" w:name="_Toc4035"/>
      <w:r>
        <w:rPr>
          <w:rFonts w:hint="eastAsia"/>
          <w:b w:val="0"/>
          <w:bCs/>
          <w:highlight w:val="none"/>
          <w:lang w:val="en-US" w:eastAsia="zh-CN"/>
        </w:rPr>
        <w:t>第三节 完善水利基础设施建设</w:t>
      </w:r>
      <w:bookmarkEnd w:id="93"/>
    </w:p>
    <w:p w14:paraId="648BCF5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快水利基础设施建设，有效衔接龙江水网，统筹水资源开发利用、治理、配置、节约和保护，谋划实施矿区疏干水综合利用项目，协助做好支援水库除险加固、预警监测、蓄滞洪区建设管理工作，完成水库下游河道七星河及扁石河过境流域重要堤防加固提升、幸福河湖建设工程。加快农村供水标准化建设，全面推行农村供水“</w:t>
      </w:r>
      <w:r>
        <w:rPr>
          <w:rFonts w:hint="eastAsia" w:ascii="Times New Roman" w:hAnsi="Times New Roman" w:eastAsia="仿宋_GB2312" w:cs="Times New Roman"/>
          <w:spacing w:val="7"/>
          <w:sz w:val="32"/>
          <w:szCs w:val="32"/>
          <w:highlight w:val="none"/>
          <w:lang w:val="en-US" w:eastAsia="zh-CN"/>
        </w:rPr>
        <w:t>3+1</w:t>
      </w:r>
      <w:r>
        <w:rPr>
          <w:rFonts w:hint="eastAsia" w:ascii="仿宋_GB2312" w:hAnsi="仿宋_GB2312" w:eastAsia="仿宋_GB2312" w:cs="仿宋_GB2312"/>
          <w:spacing w:val="7"/>
          <w:sz w:val="32"/>
          <w:szCs w:val="32"/>
          <w:highlight w:val="none"/>
          <w:lang w:val="en-US" w:eastAsia="zh-CN"/>
        </w:rPr>
        <w:t>”标准化建设和管护模式，提升农村供水安全保障水平。加强水资源节约集约利用，健全水资源刚性约束制度体系，完善农业节水增效、工业节水减排、城镇节水降损制度体系落实措施。加快完善水旱灾害防御体系，锚定“人员不伤亡、水库不垮坝、重要堤防不决口、重要基础设施不受冲击”和确保城乡居民供水安全、灌区农作物时令灌溉用水需求、规模化养殖用水安全的目标。</w:t>
      </w:r>
    </w:p>
    <w:p w14:paraId="6681A03F">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bookmarkStart w:id="94" w:name="bookmark52"/>
      <w:bookmarkEnd w:id="94"/>
      <w:r>
        <w:rPr>
          <w:rFonts w:hint="eastAsia" w:ascii="方正小标宋简体" w:hAnsi="方正小标宋简体" w:eastAsia="方正小标宋简体" w:cs="方正小标宋简体"/>
          <w:spacing w:val="7"/>
          <w:sz w:val="30"/>
          <w:szCs w:val="30"/>
          <w:highlight w:val="none"/>
          <w:lang w:val="en-US" w:eastAsia="zh-CN"/>
        </w:rPr>
        <w:t>表21  水利基础设施建设工程</w:t>
      </w:r>
    </w:p>
    <w:p w14:paraId="61EE30DE">
      <w:pPr>
        <w:spacing w:line="85" w:lineRule="auto"/>
        <w:rPr>
          <w:rFonts w:ascii="Arial"/>
          <w:sz w:val="2"/>
          <w:highlight w:val="none"/>
        </w:rPr>
      </w:pPr>
    </w:p>
    <w:tbl>
      <w:tblPr>
        <w:tblStyle w:val="13"/>
        <w:tblW w:w="8304"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96"/>
        <w:gridCol w:w="5515"/>
      </w:tblGrid>
      <w:tr w14:paraId="39394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993" w:type="dxa"/>
            <w:tcBorders>
              <w:top w:val="single" w:color="000000" w:sz="10" w:space="0"/>
              <w:left w:val="nil"/>
              <w:bottom w:val="single" w:color="000000" w:sz="10" w:space="0"/>
            </w:tcBorders>
            <w:vAlign w:val="top"/>
          </w:tcPr>
          <w:p w14:paraId="4221F9B2">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1796" w:type="dxa"/>
            <w:tcBorders>
              <w:top w:val="single" w:color="000000" w:sz="10" w:space="0"/>
              <w:bottom w:val="single" w:color="000000" w:sz="10" w:space="0"/>
            </w:tcBorders>
            <w:vAlign w:val="top"/>
          </w:tcPr>
          <w:p w14:paraId="35F58D6D">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发展目标</w:t>
            </w:r>
          </w:p>
        </w:tc>
        <w:tc>
          <w:tcPr>
            <w:tcW w:w="5515" w:type="dxa"/>
            <w:tcBorders>
              <w:top w:val="single" w:color="000000" w:sz="10" w:space="0"/>
              <w:bottom w:val="single" w:color="000000" w:sz="10" w:space="0"/>
              <w:right w:val="nil"/>
            </w:tcBorders>
            <w:vAlign w:val="top"/>
          </w:tcPr>
          <w:p w14:paraId="54B8CACE">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w:t>
            </w:r>
          </w:p>
        </w:tc>
      </w:tr>
      <w:tr w14:paraId="7E78F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 w:hRule="atLeast"/>
        </w:trPr>
        <w:tc>
          <w:tcPr>
            <w:tcW w:w="993" w:type="dxa"/>
            <w:tcBorders>
              <w:top w:val="single" w:color="000000" w:sz="10" w:space="0"/>
              <w:left w:val="nil"/>
              <w:bottom w:val="single" w:color="000000" w:sz="6" w:space="0"/>
            </w:tcBorders>
            <w:vAlign w:val="center"/>
          </w:tcPr>
          <w:p w14:paraId="0E8CA32D">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水利工程</w:t>
            </w:r>
          </w:p>
        </w:tc>
        <w:tc>
          <w:tcPr>
            <w:tcW w:w="1796" w:type="dxa"/>
            <w:tcBorders>
              <w:top w:val="single" w:color="000000" w:sz="10" w:space="0"/>
              <w:bottom w:val="single" w:color="000000" w:sz="6" w:space="0"/>
            </w:tcBorders>
            <w:vAlign w:val="center"/>
          </w:tcPr>
          <w:p w14:paraId="407CC2B6">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提升信息化管理水平，加固提标河堤，提升城区防洪能力</w:t>
            </w:r>
          </w:p>
        </w:tc>
        <w:tc>
          <w:tcPr>
            <w:tcW w:w="5515" w:type="dxa"/>
            <w:tcBorders>
              <w:top w:val="single" w:color="000000" w:sz="10" w:space="0"/>
              <w:bottom w:val="single" w:color="000000" w:sz="6" w:space="0"/>
              <w:right w:val="nil"/>
            </w:tcBorders>
            <w:vAlign w:val="top"/>
          </w:tcPr>
          <w:p w14:paraId="67A20D85">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宝山区幸福河湖建设项目（包含七星河双鸭山宝山区段幸福河湖建设实施方案、扁石河双鸭山宝山区段幸福河湖建设实施方案、幸福河湖配套工程）、宝山区七星河堤防项目</w:t>
            </w:r>
          </w:p>
        </w:tc>
      </w:tr>
    </w:tbl>
    <w:p w14:paraId="698E88E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rPr>
      </w:pPr>
    </w:p>
    <w:p w14:paraId="42CCFB2E">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5" w:name="_Toc28326"/>
      <w:r>
        <w:rPr>
          <w:rFonts w:hint="eastAsia"/>
          <w:b w:val="0"/>
          <w:bCs/>
          <w:highlight w:val="none"/>
          <w:lang w:val="en-US" w:eastAsia="zh-CN"/>
        </w:rPr>
        <w:t>第四节 推动能源基础设施建设</w:t>
      </w:r>
      <w:bookmarkEnd w:id="95"/>
    </w:p>
    <w:p w14:paraId="50D9726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锚定“适度超前、布局均衡、智能高效”的目标，以问题和需求为导向，通过采取科学规划、政策引导、技术创新、多方协同等举措，落实“顶层设计+专项规划+年度计划”三级政策体系，为充电基础设施建设提供科学指引，逐步破解“重城区轻农村、重数量轻布局”“一桩难求”“建而不用”等难题，推动能源结构绿色转型与经济高质量发展。提升电网汇集接入能力，加大输电线路外破及通道隐患治理，通过“人防+技防”双轨并进模式，全面杜绝由于分布式光伏装机量增速较快，导致电网反向重过载现象，即过多的电能从低压侧反送至高压侧，给电网带来了额外的压力，筑牢电网安全防线。</w:t>
      </w:r>
    </w:p>
    <w:p w14:paraId="426587CB">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表22  能源基础设施建设工程</w:t>
      </w:r>
    </w:p>
    <w:p w14:paraId="414E2C19">
      <w:pPr>
        <w:spacing w:line="48" w:lineRule="auto"/>
        <w:rPr>
          <w:rFonts w:ascii="Arial"/>
          <w:sz w:val="2"/>
          <w:highlight w:val="none"/>
        </w:rPr>
      </w:pPr>
    </w:p>
    <w:tbl>
      <w:tblPr>
        <w:tblStyle w:val="13"/>
        <w:tblW w:w="8304" w:type="dxa"/>
        <w:tblInd w:w="11"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153"/>
        <w:gridCol w:w="7151"/>
      </w:tblGrid>
      <w:tr w14:paraId="774AB32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4" w:hRule="atLeast"/>
        </w:trPr>
        <w:tc>
          <w:tcPr>
            <w:tcW w:w="1153" w:type="dxa"/>
            <w:tcBorders>
              <w:top w:val="single" w:color="000000" w:sz="10" w:space="0"/>
              <w:bottom w:val="single" w:color="000000" w:sz="10" w:space="0"/>
              <w:right w:val="single" w:color="000000" w:sz="2" w:space="0"/>
            </w:tcBorders>
            <w:vAlign w:val="top"/>
          </w:tcPr>
          <w:p w14:paraId="17D582E1">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151" w:type="dxa"/>
            <w:tcBorders>
              <w:top w:val="single" w:color="000000" w:sz="10" w:space="0"/>
              <w:left w:val="single" w:color="000000" w:sz="2" w:space="0"/>
              <w:bottom w:val="single" w:color="000000" w:sz="10" w:space="0"/>
            </w:tcBorders>
            <w:vAlign w:val="top"/>
          </w:tcPr>
          <w:p w14:paraId="62C8EAB3">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重点工作方向</w:t>
            </w:r>
          </w:p>
        </w:tc>
      </w:tr>
      <w:tr w14:paraId="24AA84F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37" w:hRule="atLeast"/>
        </w:trPr>
        <w:tc>
          <w:tcPr>
            <w:tcW w:w="1153" w:type="dxa"/>
            <w:tcBorders>
              <w:top w:val="single" w:color="000000" w:sz="10" w:space="0"/>
              <w:bottom w:val="single" w:color="000000" w:sz="2" w:space="0"/>
              <w:right w:val="single" w:color="000000" w:sz="2" w:space="0"/>
            </w:tcBorders>
            <w:vAlign w:val="center"/>
          </w:tcPr>
          <w:p w14:paraId="52FA79E3">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能源基础设施工程</w:t>
            </w:r>
          </w:p>
        </w:tc>
        <w:tc>
          <w:tcPr>
            <w:tcW w:w="7151" w:type="dxa"/>
            <w:tcBorders>
              <w:top w:val="single" w:color="000000" w:sz="10" w:space="0"/>
              <w:left w:val="single" w:color="000000" w:sz="2" w:space="0"/>
              <w:bottom w:val="single" w:color="000000" w:sz="2" w:space="0"/>
            </w:tcBorders>
            <w:vAlign w:val="top"/>
          </w:tcPr>
          <w:p w14:paraId="62C8F9EC">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以主城区及各独立工矿区、乡镇核心地段为重点，加快推进新能源充电设施建设</w:t>
            </w:r>
          </w:p>
        </w:tc>
      </w:tr>
      <w:tr w14:paraId="21B29B1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16" w:hRule="atLeast"/>
        </w:trPr>
        <w:tc>
          <w:tcPr>
            <w:tcW w:w="1153" w:type="dxa"/>
            <w:tcBorders>
              <w:top w:val="single" w:color="000000" w:sz="2" w:space="0"/>
              <w:bottom w:val="single" w:color="000000" w:sz="12" w:space="0"/>
              <w:right w:val="single" w:color="000000" w:sz="2" w:space="0"/>
            </w:tcBorders>
            <w:vAlign w:val="center"/>
          </w:tcPr>
          <w:p w14:paraId="031545D8">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电网汇集接入工程</w:t>
            </w:r>
          </w:p>
        </w:tc>
        <w:tc>
          <w:tcPr>
            <w:tcW w:w="7151" w:type="dxa"/>
            <w:tcBorders>
              <w:top w:val="single" w:color="000000" w:sz="2" w:space="0"/>
              <w:left w:val="single" w:color="000000" w:sz="2" w:space="0"/>
              <w:bottom w:val="single" w:color="000000" w:sz="12" w:space="0"/>
            </w:tcBorders>
            <w:vAlign w:val="top"/>
          </w:tcPr>
          <w:p w14:paraId="5F807E31">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宝山光伏升压站至66kV七星变单回架空线路28.3km，地埋电缆线路路径亘长0.3km。新建转角塔，直线塔，转角终端塔，电缆终端塔。七星变扩建66kV出线间隔</w:t>
            </w:r>
          </w:p>
        </w:tc>
      </w:tr>
    </w:tbl>
    <w:p w14:paraId="71A35D99">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z w:val="32"/>
          <w:szCs w:val="32"/>
          <w:highlight w:val="none"/>
        </w:rPr>
      </w:pPr>
    </w:p>
    <w:p w14:paraId="0E60910F">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eastAsia" w:ascii="仿宋_GB2312" w:hAnsi="仿宋_GB2312" w:eastAsia="仿宋_GB2312" w:cs="仿宋_GB2312"/>
          <w:sz w:val="32"/>
          <w:szCs w:val="32"/>
          <w:highlight w:val="none"/>
        </w:rPr>
      </w:pPr>
    </w:p>
    <w:p w14:paraId="756F6906">
      <w:pPr>
        <w:keepNext w:val="0"/>
        <w:keepLines w:val="0"/>
        <w:pageBreakBefore w:val="0"/>
        <w:widowControl/>
        <w:kinsoku w:val="0"/>
        <w:wordWrap/>
        <w:overflowPunct/>
        <w:topLinePunct w:val="0"/>
        <w:autoSpaceDE w:val="0"/>
        <w:autoSpaceDN w:val="0"/>
        <w:bidi w:val="0"/>
        <w:adjustRightInd w:val="0"/>
        <w:snapToGrid w:val="0"/>
        <w:spacing w:line="580" w:lineRule="exact"/>
        <w:ind w:right="0"/>
        <w:jc w:val="center"/>
        <w:textAlignment w:val="baseline"/>
        <w:outlineLvl w:val="9"/>
        <w:rPr>
          <w:rFonts w:hint="eastAsia" w:ascii="仿宋_GB2312" w:hAnsi="仿宋_GB2312" w:eastAsia="仿宋_GB2312" w:cs="仿宋_GB2312"/>
          <w:sz w:val="32"/>
          <w:szCs w:val="32"/>
          <w:highlight w:val="none"/>
        </w:rPr>
      </w:pPr>
    </w:p>
    <w:p w14:paraId="380D29D5">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bookmarkStart w:id="96" w:name="_Toc20555"/>
      <w:r>
        <w:rPr>
          <w:rFonts w:hint="eastAsia" w:ascii="方正小标宋简体" w:hAnsi="方正小标宋简体" w:eastAsia="方正小标宋简体" w:cs="方正小标宋简体"/>
          <w:b w:val="0"/>
          <w:bCs/>
          <w:sz w:val="36"/>
          <w:szCs w:val="36"/>
          <w:highlight w:val="none"/>
          <w:lang w:val="en-US" w:eastAsia="zh-CN"/>
        </w:rPr>
        <w:t>第十一章  应对人口结构变化 推进人口高质量发展</w:t>
      </w:r>
      <w:bookmarkEnd w:id="96"/>
      <w:r>
        <w:rPr>
          <w:rFonts w:hint="eastAsia" w:ascii="方正小标宋简体" w:hAnsi="方正小标宋简体" w:eastAsia="方正小标宋简体" w:cs="方正小标宋简体"/>
          <w:b w:val="0"/>
          <w:bCs/>
          <w:sz w:val="44"/>
          <w:szCs w:val="44"/>
          <w:highlight w:val="none"/>
          <w:lang w:val="en-US" w:eastAsia="zh-CN"/>
        </w:rPr>
        <w:tab/>
      </w:r>
    </w:p>
    <w:p w14:paraId="001CB12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正视老龄化日益明显，新生儿数量持续减少等人口结构突出问题，通过完善生育支持政策、延迟退休制度等，缓解少子化、老龄化压力，从而提高人口整体素质，实现结构优化、分布合理的长期均衡发展。</w:t>
      </w:r>
    </w:p>
    <w:p w14:paraId="5855665C">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7" w:name="_Toc16033"/>
      <w:r>
        <w:rPr>
          <w:rFonts w:hint="eastAsia"/>
          <w:b w:val="0"/>
          <w:bCs/>
          <w:highlight w:val="none"/>
          <w:lang w:val="en-US" w:eastAsia="zh-CN"/>
        </w:rPr>
        <w:t>第一节 优化生育支持政策</w:t>
      </w:r>
      <w:bookmarkEnd w:id="97"/>
    </w:p>
    <w:p w14:paraId="0D4D5F7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构建生育友好型社会。扩大普惠性托育、学前教育有效供给，提高生育补贴标准，加强女性就业保护，维护生育妇女就业权益，支持企业设置“生育友好岗”，对育儿妇女工作时间弹性安排、工作方式灵活安排，进一步延长婚假、产假、护理假等假期待遇，将生育友好纳入用人单位的社会责任范围，引导育龄夫妇、育儿家庭等更好平衡工作和生活，营造社会各界积极参与、共建共享的生育友好环境。落实生育医疗保障制度，按市定标准支付住院分娩医疗医保费用，降低家庭经济负担。</w:t>
      </w:r>
    </w:p>
    <w:p w14:paraId="20AB68D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增强托育服务普惠性。加快构建以托育综合服务中心为枢纽，以托育机构、社区嵌入式托育、幼儿园托班、用人单位办托、家庭托育点等为网络的“</w:t>
      </w:r>
      <w:r>
        <w:rPr>
          <w:rFonts w:hint="eastAsia" w:ascii="Times New Roman" w:hAnsi="Times New Roman" w:eastAsia="仿宋_GB2312" w:cs="Times New Roman"/>
          <w:spacing w:val="7"/>
          <w:sz w:val="32"/>
          <w:szCs w:val="32"/>
          <w:highlight w:val="none"/>
          <w:lang w:val="en-US" w:eastAsia="zh-CN"/>
        </w:rPr>
        <w:t>1+N</w:t>
      </w:r>
      <w:r>
        <w:rPr>
          <w:rFonts w:hint="eastAsia" w:ascii="仿宋_GB2312" w:hAnsi="仿宋_GB2312" w:eastAsia="仿宋_GB2312" w:cs="仿宋_GB2312"/>
          <w:spacing w:val="7"/>
          <w:sz w:val="32"/>
          <w:szCs w:val="32"/>
          <w:highlight w:val="none"/>
          <w:lang w:val="en-US" w:eastAsia="zh-CN"/>
        </w:rPr>
        <w:t>”托育服务体系。加大托育机构运营补贴力度，打造分工协同、就近就便的普惠托育服务网络。“十五五”时期，普惠托育服务体系基本建立，家庭托育成本将有效降低。</w:t>
      </w:r>
    </w:p>
    <w:p w14:paraId="57ACB6EF">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完善相关政策及配套措施。推动经济发展适应人口变化，提高供给体系对因人口变动引发的需求变迁的捕捉力、灵敏度和灵活性，加大“投资于人”的力度，推动经济增长反哺人的全面发展。落实人口与发展综合决策，健全人口统计监测体系，完善公共资源与人口挂钩机制，促进人口分布与生产力布局、公共服务配置、资源环境承载能力有效对接。稳步推进养老、医疗等领域社会保障制度改革，提高可持续性。稳妥有序落实渐进式延迟法定退休年龄政策。实施生育率提升工程，将婚嫁、生育、养育、教育一体考虑，建立覆盖全人群、全生命周期的一揽子生育支持举措。</w:t>
      </w:r>
    </w:p>
    <w:p w14:paraId="4A207EE5">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表23  生育支持政策体系完善工程</w:t>
      </w: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7595"/>
      </w:tblGrid>
      <w:tr w14:paraId="5BDD2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709" w:type="dxa"/>
            <w:tcBorders>
              <w:top w:val="single" w:color="000000" w:sz="10" w:space="0"/>
              <w:left w:val="nil"/>
              <w:bottom w:val="single" w:color="000000" w:sz="10" w:space="0"/>
            </w:tcBorders>
            <w:vAlign w:val="top"/>
          </w:tcPr>
          <w:p w14:paraId="172BB95B">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595" w:type="dxa"/>
            <w:tcBorders>
              <w:top w:val="single" w:color="000000" w:sz="10" w:space="0"/>
              <w:bottom w:val="single" w:color="000000" w:sz="10" w:space="0"/>
              <w:right w:val="nil"/>
            </w:tcBorders>
            <w:vAlign w:val="top"/>
          </w:tcPr>
          <w:p w14:paraId="56BB3C2E">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重点发展方向</w:t>
            </w:r>
          </w:p>
        </w:tc>
      </w:tr>
      <w:tr w14:paraId="70876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jc w:val="center"/>
        </w:trPr>
        <w:tc>
          <w:tcPr>
            <w:tcW w:w="709" w:type="dxa"/>
            <w:tcBorders>
              <w:top w:val="single" w:color="000000" w:sz="10" w:space="0"/>
              <w:left w:val="nil"/>
              <w:bottom w:val="single" w:color="000000" w:sz="6" w:space="0"/>
            </w:tcBorders>
            <w:vAlign w:val="center"/>
          </w:tcPr>
          <w:p w14:paraId="26785462">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生育服务</w:t>
            </w:r>
          </w:p>
        </w:tc>
        <w:tc>
          <w:tcPr>
            <w:tcW w:w="7595" w:type="dxa"/>
            <w:tcBorders>
              <w:top w:val="single" w:color="000000" w:sz="10" w:space="0"/>
              <w:bottom w:val="single" w:color="000000" w:sz="6" w:space="0"/>
              <w:right w:val="nil"/>
            </w:tcBorders>
            <w:vAlign w:val="center"/>
          </w:tcPr>
          <w:p w14:paraId="4407267F">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加强对生育妇女及儿童的关怀。关注妇女就业权益保障，加大对辖区企业岗位及工资政策落实的宣传力度</w:t>
            </w:r>
          </w:p>
        </w:tc>
      </w:tr>
      <w:tr w14:paraId="6E2E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jc w:val="center"/>
        </w:trPr>
        <w:tc>
          <w:tcPr>
            <w:tcW w:w="709" w:type="dxa"/>
            <w:tcBorders>
              <w:top w:val="single" w:color="000000" w:sz="6" w:space="0"/>
              <w:left w:val="nil"/>
              <w:bottom w:val="single" w:color="000000" w:sz="10" w:space="0"/>
            </w:tcBorders>
            <w:vAlign w:val="center"/>
          </w:tcPr>
          <w:p w14:paraId="50902EB8">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托育服务</w:t>
            </w:r>
          </w:p>
        </w:tc>
        <w:tc>
          <w:tcPr>
            <w:tcW w:w="7595" w:type="dxa"/>
            <w:tcBorders>
              <w:top w:val="single" w:color="000000" w:sz="6" w:space="0"/>
              <w:bottom w:val="single" w:color="000000" w:sz="10" w:space="0"/>
              <w:right w:val="nil"/>
            </w:tcBorders>
            <w:vAlign w:val="center"/>
          </w:tcPr>
          <w:p w14:paraId="0BB89155">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加强学龄前儿童教育服务设施建设，全面落实普惠托育服务工作要求</w:t>
            </w:r>
          </w:p>
        </w:tc>
      </w:tr>
    </w:tbl>
    <w:p w14:paraId="6BFB0182">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2" w:firstLineChars="200"/>
        <w:jc w:val="both"/>
        <w:textAlignment w:val="baseline"/>
        <w:outlineLvl w:val="9"/>
        <w:rPr>
          <w:rFonts w:hint="eastAsia" w:ascii="仿宋_GB2312" w:hAnsi="仿宋_GB2312" w:eastAsia="仿宋_GB2312" w:cs="仿宋_GB2312"/>
          <w:spacing w:val="8"/>
          <w:sz w:val="32"/>
          <w:szCs w:val="32"/>
          <w:highlight w:val="none"/>
          <w:lang w:val="en-US" w:eastAsia="zh-CN"/>
        </w:rPr>
      </w:pPr>
    </w:p>
    <w:p w14:paraId="274990A2">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8" w:name="_Toc20283"/>
      <w:r>
        <w:rPr>
          <w:rFonts w:hint="eastAsia"/>
          <w:b w:val="0"/>
          <w:bCs/>
          <w:highlight w:val="none"/>
          <w:lang w:val="en-US" w:eastAsia="zh-CN"/>
        </w:rPr>
        <w:t>第二节 积极应对人口老龄化</w:t>
      </w:r>
      <w:bookmarkEnd w:id="98"/>
    </w:p>
    <w:p w14:paraId="7CC826E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宝山区将以三级养老服务网络建设为基础，持续深化养老服务改革创新，推动养老服务从“有”向“优”升级。落实基本养老服务清单，以老年人刚需为重点，加强长期照护服务能力建设。扩大普惠养老服务有效供给，推动养老服务资源向居家社区聚集。培育发展银发经济，鼓励支持企业在已有产品基础上叠加、迭代适老化元素。</w:t>
      </w:r>
    </w:p>
    <w:p w14:paraId="1DD5F397">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优化养老服务体系。科学构建以居家为基础，社区为依托，机构为支撑，医养结合的养老服务供给格局。强化失能老年人照护，构建分级分类、普惠可及、覆盖城乡的幸福养老服务体系。加强养老服务人才培养，提升从业人员技能。运用人工智能、物联网等技术推动智慧养老，推进“养老院+护理院”新型康养模式。建设宝山区综合型养老服务中心（“医养康”多元养老服务机构），为辖区空巢、留守、高龄、低保等群体提供兜底保障作用；</w:t>
      </w:r>
    </w:p>
    <w:p w14:paraId="1330D1F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积极发展银发经济。加快开发适老产品、新业态和商业模式，推动银发经济规模化、标准化、品牌化发展。支持开发符合老年人衣、食、住、行、医等各类需求的老年用品，创新应用互联网、物联网</w:t>
      </w:r>
      <w:r>
        <w:rPr>
          <w:rFonts w:hint="eastAsia" w:ascii="Times New Roman" w:hAnsi="Times New Roman" w:eastAsia="仿宋_GB2312" w:cs="Times New Roman"/>
          <w:spacing w:val="7"/>
          <w:sz w:val="32"/>
          <w:szCs w:val="32"/>
          <w:highlight w:val="none"/>
          <w:lang w:val="en-US" w:eastAsia="zh-CN"/>
        </w:rPr>
        <w:t>、5G等数字技术，发展健康管理类、养老监护类、心理慰藉类智能产品。</w:t>
      </w:r>
    </w:p>
    <w:p w14:paraId="66DC0FA2">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表24  养老服务提升工程</w:t>
      </w:r>
    </w:p>
    <w:tbl>
      <w:tblPr>
        <w:tblStyle w:val="13"/>
        <w:tblW w:w="8304"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2986"/>
        <w:gridCol w:w="4560"/>
      </w:tblGrid>
      <w:tr w14:paraId="2549A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58" w:type="dxa"/>
            <w:tcBorders>
              <w:top w:val="single" w:color="000000" w:sz="10" w:space="0"/>
              <w:left w:val="nil"/>
              <w:bottom w:val="single" w:color="000000" w:sz="10" w:space="0"/>
            </w:tcBorders>
            <w:vAlign w:val="top"/>
          </w:tcPr>
          <w:p w14:paraId="2F13A910">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2986" w:type="dxa"/>
            <w:tcBorders>
              <w:top w:val="single" w:color="000000" w:sz="10" w:space="0"/>
              <w:bottom w:val="single" w:color="000000" w:sz="10" w:space="0"/>
            </w:tcBorders>
            <w:vAlign w:val="top"/>
          </w:tcPr>
          <w:p w14:paraId="163B7FB1">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w:t>
            </w:r>
          </w:p>
        </w:tc>
        <w:tc>
          <w:tcPr>
            <w:tcW w:w="4560" w:type="dxa"/>
            <w:tcBorders>
              <w:top w:val="single" w:color="000000" w:sz="10" w:space="0"/>
              <w:bottom w:val="single" w:color="000000" w:sz="10" w:space="0"/>
              <w:right w:val="nil"/>
            </w:tcBorders>
            <w:vAlign w:val="top"/>
          </w:tcPr>
          <w:p w14:paraId="1FEDA7D6">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重点项目及工作</w:t>
            </w:r>
          </w:p>
        </w:tc>
      </w:tr>
      <w:tr w14:paraId="7020D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3" w:hRule="atLeast"/>
        </w:trPr>
        <w:tc>
          <w:tcPr>
            <w:tcW w:w="758" w:type="dxa"/>
            <w:tcBorders>
              <w:left w:val="nil"/>
            </w:tcBorders>
            <w:vAlign w:val="center"/>
          </w:tcPr>
          <w:p w14:paraId="4E7B6486">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社区</w:t>
            </w:r>
          </w:p>
          <w:p w14:paraId="4B8810BA">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养老</w:t>
            </w:r>
          </w:p>
        </w:tc>
        <w:tc>
          <w:tcPr>
            <w:tcW w:w="2986" w:type="dxa"/>
            <w:vAlign w:val="center"/>
          </w:tcPr>
          <w:p w14:paraId="0E12CB7E">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发展嵌入式社区养老服务，培育一批专业化、连锁化、品牌化运营的社区养老服务机构</w:t>
            </w:r>
          </w:p>
        </w:tc>
        <w:tc>
          <w:tcPr>
            <w:tcW w:w="4560" w:type="dxa"/>
            <w:tcBorders>
              <w:right w:val="nil"/>
            </w:tcBorders>
            <w:vAlign w:val="center"/>
          </w:tcPr>
          <w:p w14:paraId="7686D01C">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双阳街道居家养老服务中心项目、宝山区新安街道居家养老服务中心项目、宝山区红旗街道红远社区养老服务站点、宝山区七星街道星盛社区养老服务站点项目、宝山区跃进街道宏意社区养老服务站点项目、东保卫街道东兴社区养老服务站点项目</w:t>
            </w:r>
          </w:p>
        </w:tc>
      </w:tr>
      <w:tr w14:paraId="3C823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2" w:hRule="atLeast"/>
        </w:trPr>
        <w:tc>
          <w:tcPr>
            <w:tcW w:w="758" w:type="dxa"/>
            <w:tcBorders>
              <w:left w:val="nil"/>
            </w:tcBorders>
            <w:vAlign w:val="center"/>
          </w:tcPr>
          <w:p w14:paraId="6D5DEA05">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公办养</w:t>
            </w:r>
          </w:p>
          <w:p w14:paraId="1AC9286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老机构</w:t>
            </w:r>
          </w:p>
        </w:tc>
        <w:tc>
          <w:tcPr>
            <w:tcW w:w="2986" w:type="dxa"/>
            <w:vAlign w:val="top"/>
          </w:tcPr>
          <w:p w14:paraId="70C30555">
            <w:pPr>
              <w:pStyle w:val="14"/>
              <w:spacing w:before="75" w:line="321" w:lineRule="auto"/>
              <w:jc w:val="both"/>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完善公办养老院机构设施，探索公建民营社会化改革</w:t>
            </w:r>
          </w:p>
        </w:tc>
        <w:tc>
          <w:tcPr>
            <w:tcW w:w="4560" w:type="dxa"/>
            <w:tcBorders>
              <w:right w:val="nil"/>
            </w:tcBorders>
            <w:vAlign w:val="center"/>
          </w:tcPr>
          <w:p w14:paraId="76AB0BF3">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宝山区综合型养老服务中心项目</w:t>
            </w:r>
          </w:p>
        </w:tc>
      </w:tr>
      <w:tr w14:paraId="6D9AD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758" w:type="dxa"/>
            <w:tcBorders>
              <w:left w:val="nil"/>
              <w:bottom w:val="single" w:color="000000" w:sz="10" w:space="0"/>
            </w:tcBorders>
            <w:vAlign w:val="center"/>
          </w:tcPr>
          <w:p w14:paraId="34577F1E">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养老关</w:t>
            </w:r>
          </w:p>
          <w:p w14:paraId="4F14DDF5">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怀服务</w:t>
            </w:r>
          </w:p>
        </w:tc>
        <w:tc>
          <w:tcPr>
            <w:tcW w:w="2986" w:type="dxa"/>
            <w:tcBorders>
              <w:bottom w:val="single" w:color="000000" w:sz="10" w:space="0"/>
            </w:tcBorders>
            <w:vAlign w:val="top"/>
          </w:tcPr>
          <w:p w14:paraId="21FC827C">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default" w:ascii="仿宋_GB2312" w:hAnsi="仿宋_GB2312" w:eastAsia="仿宋_GB2312" w:cs="仿宋_GB2312"/>
                <w:spacing w:val="5"/>
                <w:sz w:val="24"/>
                <w:szCs w:val="24"/>
                <w:highlight w:val="none"/>
                <w:lang w:val="en-US" w:eastAsia="zh-CN"/>
              </w:rPr>
              <w:t>提升老年文体覆盖面，丰富老年人精神文化生活</w:t>
            </w:r>
          </w:p>
        </w:tc>
        <w:tc>
          <w:tcPr>
            <w:tcW w:w="4560" w:type="dxa"/>
            <w:tcBorders>
              <w:bottom w:val="single" w:color="000000" w:sz="10" w:space="0"/>
              <w:right w:val="nil"/>
            </w:tcBorders>
            <w:vAlign w:val="center"/>
          </w:tcPr>
          <w:p w14:paraId="4A8BEE96">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以“银发经济”为依托，在旅游、康养、营养食品开发等领域植入老年人元素，满足老年人生活健康需求</w:t>
            </w:r>
          </w:p>
        </w:tc>
      </w:tr>
    </w:tbl>
    <w:p w14:paraId="09470084">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99" w:name="_Toc2632"/>
    </w:p>
    <w:p w14:paraId="6F32A0D9">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r>
        <w:rPr>
          <w:rFonts w:hint="eastAsia"/>
          <w:b w:val="0"/>
          <w:bCs/>
          <w:highlight w:val="none"/>
          <w:lang w:val="en-US" w:eastAsia="zh-CN"/>
        </w:rPr>
        <w:t>第三节 加快实现人才振兴</w:t>
      </w:r>
      <w:bookmarkEnd w:id="99"/>
    </w:p>
    <w:p w14:paraId="1AD05636">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提高人口整体素质。坚持教育优先发展，加快建设高质量教育体系。扩大应用型、技能型人才供给，提高存量劳动者的人力资本水平。大力发展社会主义先进文化，加强理想信念教育，传承中华优秀传统文化，提高人口思想道德素质。开展人才归巢行动，搭建异地优秀人才交流平台，拓宽优秀人才返乡渠道，创新招才引智模式，吸引鼓励随亲类、投靠类、返籍类人才回区就业创业。</w:t>
      </w:r>
    </w:p>
    <w:p w14:paraId="020DFFC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着力加强人力资源开发利用。切实抓好抓实高校毕业生、下岗失业人员、农民工等重点群体就业工作，加强新时代青年择业观教育，加大育龄妇女就业支持力度。提高人才自主培养质量，推动教育内容、人才培养和产业需要的联动发展，促进人力资源在区域间的合理布局和产业间的协调分布。加快建设统一规范、竞争有序的人力资源市场，破除劳动力和人才流动障碍，更好发挥市场在人力资源配置中的决定性作用。</w:t>
      </w:r>
    </w:p>
    <w:p w14:paraId="67814B3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default" w:ascii="仿宋_GB2312" w:hAnsi="仿宋_GB2312" w:eastAsia="仿宋_GB2312" w:cs="仿宋_GB2312"/>
          <w:spacing w:val="7"/>
          <w:sz w:val="32"/>
          <w:szCs w:val="32"/>
          <w:highlight w:val="none"/>
          <w:lang w:val="en-US" w:eastAsia="zh-CN"/>
        </w:rPr>
      </w:pPr>
    </w:p>
    <w:p w14:paraId="0C525101">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100" w:name="bookmark57"/>
      <w:bookmarkEnd w:id="100"/>
      <w:bookmarkStart w:id="101" w:name="_Toc21375"/>
      <w:r>
        <w:rPr>
          <w:rFonts w:hint="eastAsia" w:ascii="方正小标宋简体" w:hAnsi="方正小标宋简体" w:eastAsia="方正小标宋简体" w:cs="方正小标宋简体"/>
          <w:b w:val="0"/>
          <w:bCs/>
          <w:sz w:val="36"/>
          <w:szCs w:val="36"/>
          <w:highlight w:val="none"/>
          <w:lang w:val="en-US" w:eastAsia="zh-CN"/>
        </w:rPr>
        <w:t>第十二章 推进社会事业发展 持续增进民生福祉实效</w:t>
      </w:r>
      <w:bookmarkEnd w:id="101"/>
    </w:p>
    <w:p w14:paraId="44C52DD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保障和改善民生作为工作的重中之重，以提升居民生活品质为核心，聚焦建设社会主义文化强国，提升区域文化软实力和文化影响力，加强文化资源开发利用，发展特色生态旅游，大力发展冰雪经济和创意经济。从社会保障、公共服务等多个维度发力，积极推进社会事业全面发展，让发展成果更多更公平地惠及广大群众。</w:t>
      </w:r>
    </w:p>
    <w:p w14:paraId="6773C640">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2" w:name="_Toc1523"/>
      <w:r>
        <w:rPr>
          <w:rFonts w:hint="eastAsia"/>
          <w:b w:val="0"/>
          <w:bCs/>
          <w:highlight w:val="none"/>
          <w:lang w:val="en-US" w:eastAsia="zh-CN"/>
        </w:rPr>
        <w:t>第一节 繁荣文化和体育事业</w:t>
      </w:r>
      <w:bookmarkEnd w:id="102"/>
    </w:p>
    <w:p w14:paraId="3199BF5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以“坚定文化自信、建设文化强区”为核心，构建文化保护传承与体育事业协同发展体系，彰显区域历史底蕴与时代活力。围绕“历史遗存线、城区进程线、矿山成就线”，系统梳理文化遗产，深挖工业历史与城市发展脉络。非遗保护聚焦骨编技艺、老东北银器制作技艺，通过跨界融合、新媒体传播焕发新生。工业遗产方面，将宝山煤矿相关成果融入煤炭文化馆。以酿清谷景区为载体，做强特色节庆活动，宣传历史名人，彰显生态文明建设成效；以社会主义核心价值观为引领，深化理论传播与爱国主义教育，推进传统文化传承、文明创建与道德建设。</w:t>
      </w:r>
    </w:p>
    <w:p w14:paraId="71519635">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表25  文化事业繁荣工程</w:t>
      </w:r>
    </w:p>
    <w:tbl>
      <w:tblPr>
        <w:tblStyle w:val="13"/>
        <w:tblW w:w="830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3"/>
        <w:gridCol w:w="7169"/>
      </w:tblGrid>
      <w:tr w14:paraId="585A4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1133" w:type="dxa"/>
            <w:tcBorders>
              <w:top w:val="single" w:color="000000" w:sz="10" w:space="0"/>
              <w:left w:val="nil"/>
              <w:bottom w:val="single" w:color="000000" w:sz="10" w:space="0"/>
            </w:tcBorders>
            <w:vAlign w:val="top"/>
          </w:tcPr>
          <w:p w14:paraId="6A2EAA74">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169" w:type="dxa"/>
            <w:tcBorders>
              <w:top w:val="single" w:color="000000" w:sz="10" w:space="0"/>
              <w:bottom w:val="single" w:color="000000" w:sz="10" w:space="0"/>
              <w:right w:val="nil"/>
            </w:tcBorders>
            <w:vAlign w:val="top"/>
          </w:tcPr>
          <w:p w14:paraId="585D43F9">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重点工作及重点项目</w:t>
            </w:r>
          </w:p>
        </w:tc>
      </w:tr>
      <w:tr w14:paraId="42823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0" w:hRule="atLeast"/>
          <w:jc w:val="center"/>
        </w:trPr>
        <w:tc>
          <w:tcPr>
            <w:tcW w:w="1133" w:type="dxa"/>
            <w:tcBorders>
              <w:top w:val="single" w:color="000000" w:sz="10" w:space="0"/>
              <w:left w:val="nil"/>
            </w:tcBorders>
            <w:vAlign w:val="center"/>
          </w:tcPr>
          <w:p w14:paraId="6A4D8C58">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文化遗</w:t>
            </w:r>
          </w:p>
          <w:p w14:paraId="6ECF9223">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产保护</w:t>
            </w:r>
          </w:p>
        </w:tc>
        <w:tc>
          <w:tcPr>
            <w:tcW w:w="7169" w:type="dxa"/>
            <w:tcBorders>
              <w:top w:val="single" w:color="000000" w:sz="10" w:space="0"/>
              <w:right w:val="nil"/>
            </w:tcBorders>
            <w:vAlign w:val="top"/>
          </w:tcPr>
          <w:p w14:paraId="7C2386F5">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举办展览、文化直播、拍摄短视频等方式加强宣传和展示骨编、版画和酿酒技艺，丰富产品的文化属性及内涵，形成“宝山特有文化”。重点培育骨编制作技艺、老东北银器制作技艺进行品牌塑造和价值提升</w:t>
            </w:r>
          </w:p>
        </w:tc>
      </w:tr>
      <w:tr w14:paraId="5FC97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0" w:hRule="atLeast"/>
          <w:jc w:val="center"/>
        </w:trPr>
        <w:tc>
          <w:tcPr>
            <w:tcW w:w="1133" w:type="dxa"/>
            <w:tcBorders>
              <w:left w:val="nil"/>
              <w:bottom w:val="single" w:color="000000" w:sz="10" w:space="0"/>
            </w:tcBorders>
            <w:vAlign w:val="center"/>
          </w:tcPr>
          <w:p w14:paraId="49C71A7E">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公共服</w:t>
            </w:r>
          </w:p>
          <w:p w14:paraId="5BFE6D63">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务设施</w:t>
            </w:r>
          </w:p>
        </w:tc>
        <w:tc>
          <w:tcPr>
            <w:tcW w:w="7169" w:type="dxa"/>
            <w:tcBorders>
              <w:bottom w:val="single" w:color="000000" w:sz="10" w:space="0"/>
              <w:right w:val="nil"/>
            </w:tcBorders>
            <w:vAlign w:val="center"/>
          </w:tcPr>
          <w:p w14:paraId="5E7D237B">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宝山区文体新闻中心升级改造项目、宝山区基层文化站服务设施升级改造项目</w:t>
            </w:r>
          </w:p>
        </w:tc>
      </w:tr>
    </w:tbl>
    <w:p w14:paraId="089652C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0E35324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体育事业锚定“健康宝山”目标，大力推进体育场地设施建设。加快完善公共体育、足球场、公园等全民健身场地设施，满足广大人民群众多元化、多层次体育健身需求。力争2030年人均体育场地面积达2.75平方米，筑牢体育强国基层根基。办好篮球联谊赛等赛事，做强“赏冰乐雪”“全民健身”活动品牌，开展“社区健身活动月”，引导社会资本参与。</w:t>
      </w:r>
    </w:p>
    <w:p w14:paraId="5C62A593">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表26  体育事业创新发展工程</w:t>
      </w: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9"/>
        <w:gridCol w:w="7685"/>
      </w:tblGrid>
      <w:tr w14:paraId="22CB2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619" w:type="dxa"/>
            <w:tcBorders>
              <w:top w:val="single" w:color="000000" w:sz="10" w:space="0"/>
              <w:left w:val="nil"/>
              <w:bottom w:val="single" w:color="000000" w:sz="10" w:space="0"/>
            </w:tcBorders>
            <w:vAlign w:val="top"/>
          </w:tcPr>
          <w:p w14:paraId="7B52E072">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685" w:type="dxa"/>
            <w:tcBorders>
              <w:top w:val="single" w:color="000000" w:sz="10" w:space="0"/>
              <w:bottom w:val="single" w:color="000000" w:sz="10" w:space="0"/>
              <w:right w:val="nil"/>
            </w:tcBorders>
            <w:vAlign w:val="top"/>
          </w:tcPr>
          <w:p w14:paraId="37A0740D">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发展目标重点工作方向</w:t>
            </w:r>
          </w:p>
        </w:tc>
      </w:tr>
      <w:tr w14:paraId="08FDA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8" w:hRule="atLeast"/>
          <w:jc w:val="center"/>
        </w:trPr>
        <w:tc>
          <w:tcPr>
            <w:tcW w:w="619" w:type="dxa"/>
            <w:tcBorders>
              <w:top w:val="single" w:color="000000" w:sz="10" w:space="0"/>
              <w:left w:val="nil"/>
            </w:tcBorders>
            <w:vAlign w:val="center"/>
          </w:tcPr>
          <w:p w14:paraId="3DC5F0E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体育场地设施</w:t>
            </w:r>
          </w:p>
        </w:tc>
        <w:tc>
          <w:tcPr>
            <w:tcW w:w="7685" w:type="dxa"/>
            <w:tcBorders>
              <w:top w:val="single" w:color="000000" w:sz="10" w:space="0"/>
              <w:right w:val="nil"/>
            </w:tcBorders>
            <w:vAlign w:val="center"/>
          </w:tcPr>
          <w:p w14:paraId="6409F36F">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到2030年人均体育场地面积达2.75平方米。通过改建、修建等方式，在主城区、七星矿、新安矿</w:t>
            </w:r>
            <w:r>
              <w:rPr>
                <w:rFonts w:hint="default" w:ascii="仿宋_GB2312" w:hAnsi="仿宋_GB2312" w:eastAsia="仿宋_GB2312" w:cs="仿宋_GB2312"/>
                <w:spacing w:val="5"/>
                <w:sz w:val="24"/>
                <w:szCs w:val="24"/>
                <w:highlight w:val="none"/>
                <w:lang w:val="en-US" w:eastAsia="zh-CN"/>
              </w:rPr>
              <w:t>、</w:t>
            </w:r>
            <w:r>
              <w:rPr>
                <w:rFonts w:hint="eastAsia" w:ascii="仿宋_GB2312" w:hAnsi="仿宋_GB2312" w:eastAsia="仿宋_GB2312" w:cs="仿宋_GB2312"/>
                <w:spacing w:val="5"/>
                <w:sz w:val="24"/>
                <w:szCs w:val="24"/>
                <w:highlight w:val="none"/>
                <w:lang w:val="en-US" w:eastAsia="zh-CN"/>
              </w:rPr>
              <w:t>东保卫矿</w:t>
            </w:r>
            <w:r>
              <w:rPr>
                <w:rFonts w:hint="default" w:ascii="仿宋_GB2312" w:hAnsi="仿宋_GB2312" w:eastAsia="仿宋_GB2312" w:cs="仿宋_GB2312"/>
                <w:spacing w:val="5"/>
                <w:sz w:val="24"/>
                <w:szCs w:val="24"/>
                <w:highlight w:val="none"/>
                <w:lang w:val="en-US" w:eastAsia="zh-CN"/>
              </w:rPr>
              <w:t>、</w:t>
            </w:r>
            <w:r>
              <w:rPr>
                <w:rFonts w:hint="eastAsia" w:ascii="仿宋_GB2312" w:hAnsi="仿宋_GB2312" w:eastAsia="仿宋_GB2312" w:cs="仿宋_GB2312"/>
                <w:spacing w:val="5"/>
                <w:sz w:val="24"/>
                <w:szCs w:val="24"/>
                <w:highlight w:val="none"/>
                <w:lang w:val="en-US" w:eastAsia="zh-CN"/>
              </w:rPr>
              <w:t>双阳矿</w:t>
            </w:r>
            <w:r>
              <w:rPr>
                <w:rFonts w:hint="default" w:ascii="仿宋_GB2312" w:hAnsi="仿宋_GB2312" w:eastAsia="仿宋_GB2312" w:cs="仿宋_GB2312"/>
                <w:spacing w:val="5"/>
                <w:sz w:val="24"/>
                <w:szCs w:val="24"/>
                <w:highlight w:val="none"/>
                <w:lang w:val="en-US" w:eastAsia="zh-CN"/>
              </w:rPr>
              <w:t>及电厂等</w:t>
            </w:r>
            <w:r>
              <w:rPr>
                <w:rFonts w:hint="eastAsia" w:ascii="仿宋_GB2312" w:hAnsi="仿宋_GB2312" w:eastAsia="仿宋_GB2312" w:cs="仿宋_GB2312"/>
                <w:spacing w:val="5"/>
                <w:sz w:val="24"/>
                <w:szCs w:val="24"/>
                <w:highlight w:val="none"/>
                <w:lang w:val="en-US" w:eastAsia="zh-CN"/>
              </w:rPr>
              <w:t>群众生活聚集</w:t>
            </w:r>
            <w:r>
              <w:rPr>
                <w:rFonts w:hint="default" w:ascii="仿宋_GB2312" w:hAnsi="仿宋_GB2312" w:eastAsia="仿宋_GB2312" w:cs="仿宋_GB2312"/>
                <w:spacing w:val="5"/>
                <w:sz w:val="24"/>
                <w:szCs w:val="24"/>
                <w:highlight w:val="none"/>
                <w:lang w:val="en-US" w:eastAsia="zh-CN"/>
              </w:rPr>
              <w:t>区域</w:t>
            </w:r>
            <w:r>
              <w:rPr>
                <w:rFonts w:hint="eastAsia" w:ascii="仿宋_GB2312" w:hAnsi="仿宋_GB2312" w:eastAsia="仿宋_GB2312" w:cs="仿宋_GB2312"/>
                <w:spacing w:val="5"/>
                <w:sz w:val="24"/>
                <w:szCs w:val="24"/>
                <w:highlight w:val="none"/>
                <w:lang w:val="en-US" w:eastAsia="zh-CN"/>
              </w:rPr>
              <w:t>，分别明确一个集娱乐健身为一体的居民运动健身场所，并予以修葺完善。支持改建一批全民健身广场、健身步道等健身设施</w:t>
            </w:r>
          </w:p>
        </w:tc>
      </w:tr>
      <w:tr w14:paraId="229C0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619" w:type="dxa"/>
            <w:tcBorders>
              <w:left w:val="nil"/>
              <w:bottom w:val="single" w:color="000000" w:sz="10" w:space="0"/>
            </w:tcBorders>
            <w:vAlign w:val="top"/>
          </w:tcPr>
          <w:p w14:paraId="6DD5B8A5">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体育赛事活动</w:t>
            </w:r>
          </w:p>
        </w:tc>
        <w:tc>
          <w:tcPr>
            <w:tcW w:w="7685" w:type="dxa"/>
            <w:tcBorders>
              <w:bottom w:val="single" w:color="000000" w:sz="10" w:space="0"/>
              <w:right w:val="nil"/>
            </w:tcBorders>
            <w:vAlign w:val="center"/>
          </w:tcPr>
          <w:p w14:paraId="79090F9B">
            <w:pPr>
              <w:pStyle w:val="14"/>
              <w:spacing w:before="75" w:line="321" w:lineRule="auto"/>
              <w:jc w:val="left"/>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开展“社区健身活动月”活动</w:t>
            </w:r>
          </w:p>
        </w:tc>
      </w:tr>
    </w:tbl>
    <w:p w14:paraId="3D1AAC55">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72" w:firstLineChars="200"/>
        <w:jc w:val="both"/>
        <w:textAlignment w:val="baseline"/>
        <w:outlineLvl w:val="9"/>
        <w:rPr>
          <w:rFonts w:hint="eastAsia" w:ascii="仿宋_GB2312" w:hAnsi="仿宋_GB2312" w:eastAsia="仿宋_GB2312" w:cs="仿宋_GB2312"/>
          <w:spacing w:val="8"/>
          <w:sz w:val="32"/>
          <w:szCs w:val="32"/>
          <w:highlight w:val="none"/>
          <w:lang w:val="en-US" w:eastAsia="zh-CN"/>
        </w:rPr>
      </w:pPr>
    </w:p>
    <w:p w14:paraId="2717FE56">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3" w:name="_Toc3265"/>
      <w:r>
        <w:rPr>
          <w:rFonts w:hint="eastAsia"/>
          <w:b w:val="0"/>
          <w:bCs/>
          <w:highlight w:val="none"/>
          <w:lang w:val="en-US" w:eastAsia="zh-CN"/>
        </w:rPr>
        <w:t>第二节 打造特色旅游品牌</w:t>
      </w:r>
      <w:bookmarkEnd w:id="103"/>
    </w:p>
    <w:p w14:paraId="4466B23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立足旅游业新发展格局，坚守生态优先、绿色发展理念，聚焦冰雪游、农旅游、避暑游、生态康养游和文化游等特色方向，打造“现代、质量、创新、幸福、融合、开放”六大文旅形态。引入市场化机制优化资源配置，壮大市场主体、释放消费潜力，推动资源优势转化为发展动能，实现“绿水青山、冰天雪地”向“金山银山”的转化。依托区域自然与人文资源，构建“</w:t>
      </w:r>
      <w:r>
        <w:rPr>
          <w:rFonts w:hint="eastAsia" w:ascii="Times New Roman" w:hAnsi="Times New Roman" w:eastAsia="仿宋_GB2312" w:cs="Times New Roman"/>
          <w:spacing w:val="7"/>
          <w:sz w:val="32"/>
          <w:szCs w:val="32"/>
          <w:highlight w:val="none"/>
          <w:lang w:val="en-US" w:eastAsia="zh-CN"/>
        </w:rPr>
        <w:t>1+3</w:t>
      </w:r>
      <w:r>
        <w:rPr>
          <w:rFonts w:hint="eastAsia" w:ascii="仿宋_GB2312" w:hAnsi="仿宋_GB2312" w:eastAsia="仿宋_GB2312" w:cs="仿宋_GB2312"/>
          <w:spacing w:val="7"/>
          <w:sz w:val="32"/>
          <w:szCs w:val="32"/>
          <w:highlight w:val="none"/>
          <w:lang w:val="en-US" w:eastAsia="zh-CN"/>
        </w:rPr>
        <w:t>”精品近郊旅游线路，以酿清谷旅游温泉小镇为核心，串联酿清谷景区、大叶沟密营地等文旅资源，打造生态采摘体验游、红色研学游等线路并融入全市南线旅游网络，同时谋划微度假高端游项目，形成集温泉康养、生态观光等多功能于一体的特色旅游聚集地，带动服务业、餐饮业发展，力争“十五五”时期游客数量和旅游相关收入年均分别增</w:t>
      </w:r>
      <w:r>
        <w:rPr>
          <w:rFonts w:hint="eastAsia" w:ascii="Times New Roman" w:hAnsi="Times New Roman" w:eastAsia="仿宋_GB2312" w:cs="Times New Roman"/>
          <w:spacing w:val="7"/>
          <w:sz w:val="32"/>
          <w:szCs w:val="32"/>
          <w:highlight w:val="none"/>
          <w:lang w:val="en-US" w:eastAsia="zh-CN"/>
        </w:rPr>
        <w:t>长5%和6%以上。</w:t>
      </w:r>
    </w:p>
    <w:p w14:paraId="4A5093C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ascii="宋体" w:hAnsi="宋体" w:eastAsia="宋体" w:cs="宋体"/>
          <w:sz w:val="24"/>
          <w:szCs w:val="24"/>
          <w:highlight w:val="none"/>
        </w:rPr>
      </w:pPr>
      <w:r>
        <w:rPr>
          <w:rFonts w:hint="eastAsia" w:ascii="仿宋_GB2312" w:hAnsi="仿宋_GB2312" w:eastAsia="仿宋_GB2312" w:cs="仿宋_GB2312"/>
          <w:spacing w:val="7"/>
          <w:sz w:val="32"/>
          <w:szCs w:val="32"/>
          <w:highlight w:val="none"/>
          <w:lang w:val="en-US" w:eastAsia="zh-CN"/>
        </w:rPr>
        <w:t>充分发挥冰雪资源优势，打造城区冰雪观光、餐饮购物一体化项目，推动“冷资源”转化为“热经济”。进一步释放冰雪产业发展新动能。依托主城区冬季冰雪雕塑文化基础，抢抓两节市场带来的消费潜力释放契机，打造城区冰雪观光、餐饮购物为一体的特色旅游项目，变独特的冰雪资源优势为产品优势和市场竞争优势。</w:t>
      </w:r>
    </w:p>
    <w:p w14:paraId="3725C2BC">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表27  特色旅游品牌塑造工程</w:t>
      </w: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
        <w:gridCol w:w="7398"/>
      </w:tblGrid>
      <w:tr w14:paraId="01141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906" w:type="dxa"/>
            <w:tcBorders>
              <w:top w:val="single" w:color="000000" w:sz="10" w:space="0"/>
              <w:left w:val="nil"/>
              <w:bottom w:val="single" w:color="000000" w:sz="10" w:space="0"/>
            </w:tcBorders>
            <w:vAlign w:val="top"/>
          </w:tcPr>
          <w:p w14:paraId="7ED9D7FA">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398" w:type="dxa"/>
            <w:tcBorders>
              <w:top w:val="single" w:color="000000" w:sz="10" w:space="0"/>
              <w:bottom w:val="single" w:color="000000" w:sz="10" w:space="0"/>
              <w:right w:val="nil"/>
            </w:tcBorders>
            <w:vAlign w:val="top"/>
          </w:tcPr>
          <w:p w14:paraId="75DE1558">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重点任务及重点项目</w:t>
            </w:r>
          </w:p>
        </w:tc>
      </w:tr>
      <w:tr w14:paraId="2E4AC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6" w:hRule="atLeast"/>
          <w:jc w:val="center"/>
        </w:trPr>
        <w:tc>
          <w:tcPr>
            <w:tcW w:w="906" w:type="dxa"/>
            <w:tcBorders>
              <w:top w:val="single" w:color="000000" w:sz="10" w:space="0"/>
              <w:left w:val="nil"/>
              <w:bottom w:val="single" w:color="000000" w:sz="12" w:space="0"/>
            </w:tcBorders>
            <w:vAlign w:val="center"/>
          </w:tcPr>
          <w:p w14:paraId="52B4031B">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1+3精品近郊旅游线路</w:t>
            </w:r>
          </w:p>
        </w:tc>
        <w:tc>
          <w:tcPr>
            <w:tcW w:w="7398" w:type="dxa"/>
            <w:tcBorders>
              <w:top w:val="single" w:color="000000" w:sz="10" w:space="0"/>
              <w:bottom w:val="single" w:color="000000" w:sz="12" w:space="0"/>
              <w:right w:val="nil"/>
            </w:tcBorders>
            <w:vAlign w:val="top"/>
          </w:tcPr>
          <w:p w14:paraId="54B54335">
            <w:pPr>
              <w:pStyle w:val="14"/>
              <w:spacing w:before="75" w:line="321" w:lineRule="auto"/>
              <w:jc w:val="left"/>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大叶沟密营地、农场翠博园、东保卫杜鹃花海、煤炭文化馆、国防教育示范基地等资源，精心打造“一个高端旅游区，三条旅游线”，A级旅游景区+自然景观的休闲观光游、酿清谷风景区+农场翠博园生态采摘体验游、文化馆+国防教育示范基地红色研学游三条旅游路线，持续推进宝山区酿清谷温泉小镇项目提质增量</w:t>
            </w:r>
          </w:p>
        </w:tc>
      </w:tr>
    </w:tbl>
    <w:p w14:paraId="0F727E38">
      <w:pPr>
        <w:spacing w:before="34" w:line="227" w:lineRule="auto"/>
        <w:rPr>
          <w:rFonts w:ascii="黑体" w:hAnsi="黑体" w:eastAsia="黑体" w:cs="黑体"/>
          <w:spacing w:val="6"/>
          <w:sz w:val="31"/>
          <w:szCs w:val="31"/>
          <w:highlight w:val="none"/>
        </w:rPr>
      </w:pPr>
    </w:p>
    <w:p w14:paraId="736299B3">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表28  冰雪经济提升工程</w:t>
      </w:r>
    </w:p>
    <w:tbl>
      <w:tblPr>
        <w:tblStyle w:val="13"/>
        <w:tblW w:w="8301" w:type="dxa"/>
        <w:tblInd w:w="1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603"/>
        <w:gridCol w:w="6698"/>
      </w:tblGrid>
      <w:tr w14:paraId="4C7213C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15" w:hRule="atLeast"/>
        </w:trPr>
        <w:tc>
          <w:tcPr>
            <w:tcW w:w="1603" w:type="dxa"/>
            <w:tcBorders>
              <w:top w:val="single" w:color="000000" w:sz="10" w:space="0"/>
              <w:bottom w:val="single" w:color="000000" w:sz="10" w:space="0"/>
              <w:right w:val="single" w:color="000000" w:sz="2" w:space="0"/>
            </w:tcBorders>
            <w:vAlign w:val="top"/>
          </w:tcPr>
          <w:p w14:paraId="0F167A3E">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6698" w:type="dxa"/>
            <w:tcBorders>
              <w:top w:val="single" w:color="000000" w:sz="10" w:space="0"/>
              <w:left w:val="single" w:color="000000" w:sz="2" w:space="0"/>
              <w:bottom w:val="single" w:color="000000" w:sz="10" w:space="0"/>
            </w:tcBorders>
            <w:vAlign w:val="top"/>
          </w:tcPr>
          <w:p w14:paraId="013AB317">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重点项目与活动</w:t>
            </w:r>
          </w:p>
        </w:tc>
      </w:tr>
      <w:tr w14:paraId="77F6498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40" w:hRule="atLeast"/>
        </w:trPr>
        <w:tc>
          <w:tcPr>
            <w:tcW w:w="1603" w:type="dxa"/>
            <w:tcBorders>
              <w:top w:val="single" w:color="000000" w:sz="10" w:space="0"/>
              <w:bottom w:val="single" w:color="000000" w:sz="2" w:space="0"/>
              <w:right w:val="single" w:color="000000" w:sz="2" w:space="0"/>
            </w:tcBorders>
            <w:vAlign w:val="center"/>
          </w:tcPr>
          <w:p w14:paraId="75B052FD">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冰雪旅游设施</w:t>
            </w:r>
          </w:p>
        </w:tc>
        <w:tc>
          <w:tcPr>
            <w:tcW w:w="6698" w:type="dxa"/>
            <w:tcBorders>
              <w:top w:val="single" w:color="000000" w:sz="10" w:space="0"/>
              <w:left w:val="single" w:color="000000" w:sz="2" w:space="0"/>
              <w:bottom w:val="single" w:color="000000" w:sz="2" w:space="0"/>
            </w:tcBorders>
            <w:vAlign w:val="top"/>
          </w:tcPr>
          <w:p w14:paraId="6BAFF66A">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依托主城区冬季冰雪雕塑文化基础，抢抓两节市场带来的消费潜力释放契机，打造城区冰雪观光、餐饮购物为一体的特色旅游项目</w:t>
            </w:r>
          </w:p>
        </w:tc>
      </w:tr>
    </w:tbl>
    <w:p w14:paraId="447E37A0">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7B5E14DF">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4" w:name="bookmark87"/>
      <w:bookmarkEnd w:id="104"/>
      <w:bookmarkStart w:id="105" w:name="_Toc1160"/>
      <w:r>
        <w:rPr>
          <w:rFonts w:hint="eastAsia"/>
          <w:b w:val="0"/>
          <w:bCs/>
          <w:highlight w:val="none"/>
          <w:lang w:val="en-US" w:eastAsia="zh-CN"/>
        </w:rPr>
        <w:t>第三节 促进城乡居民增收</w:t>
      </w:r>
      <w:bookmarkEnd w:id="105"/>
    </w:p>
    <w:p w14:paraId="66F21B41">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Times New Roman" w:hAnsi="Times New Roman" w:eastAsia="仿宋_GB2312" w:cs="Times New Roman"/>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进一步激发市场活力和社会创造力，形成以创业集聚产业、以创业带动就业的良好生态，促进高质量充分就业。营造鼓励创业社会氛围。将创业教育融入人才培养全过程，增强创业意识。支持返乡入乡创业，鼓励重点群体返乡入乡创业，按规定享受小微企业扶持政策，鼓励返乡入乡企业招用就业困难人员或高校毕业生、购置农机设备、兴办养老托育服务机构等。加大对创业失败人员帮扶，鼓励根据创业发展需要，支持自主创业人员中符合条件的，可按灵活就业人员参保缴费办法参加社会保险，对创业失败人员按规定进行失业登记，及时提供就业服务，符合就业困难人员条件的，提供“一对一”就业援助，按规定纳入社会保险和社会救助体系。“十五五”时期，城镇新增就业</w:t>
      </w:r>
      <w:r>
        <w:rPr>
          <w:rFonts w:hint="eastAsia" w:ascii="Times New Roman" w:hAnsi="Times New Roman" w:eastAsia="仿宋_GB2312" w:cs="Times New Roman"/>
          <w:spacing w:val="7"/>
          <w:sz w:val="32"/>
          <w:szCs w:val="32"/>
          <w:highlight w:val="none"/>
          <w:lang w:val="en-US" w:eastAsia="zh-CN"/>
        </w:rPr>
        <w:t>7000人以上，城镇调查失业率控制在5.5%以内，城镇登记失业率低于5%。</w:t>
      </w:r>
    </w:p>
    <w:p w14:paraId="255CF1AC">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促进工资性收入合理增长。落实重点领域、重点行业、城乡基层和中小微企业就业支持计划。延续实施失业保险稳岗返还政策。结合形势变化加大就业支持力度，促进重点群体就业。聚焦重点领域、重点群体开展专项技能培训行动，健全多元化投入机制，做好职业技能等级评价工作。加大重点工程项目和中小型农业农村基础设施建设领域以工代赈实施力度，扩大劳务报酬发放规模。多措并举促进农民增收。落实种粮农民收益保障机制和土地增值收益分配机制。实施农村低收入人口提能增收行动，持续实施农业品牌精品培育计划，实施农产品“三品一标”行动，促进绿色、有机、名特优新和地理标志农产品消费。培育新型农业经营主体，因地制宜发展庭院经济、林下经济。落实农机报废更新补贴政策，强化产业联农带农。</w:t>
      </w:r>
    </w:p>
    <w:p w14:paraId="22B3421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823BAB9">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表29  技能培训提升工程</w:t>
      </w:r>
    </w:p>
    <w:tbl>
      <w:tblPr>
        <w:tblStyle w:val="13"/>
        <w:tblW w:w="83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2"/>
        <w:gridCol w:w="6982"/>
      </w:tblGrid>
      <w:tr w14:paraId="484DA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322" w:type="dxa"/>
            <w:tcBorders>
              <w:top w:val="single" w:color="000000" w:sz="10" w:space="0"/>
              <w:left w:val="nil"/>
              <w:bottom w:val="single" w:color="000000" w:sz="10" w:space="0"/>
            </w:tcBorders>
            <w:vAlign w:val="top"/>
          </w:tcPr>
          <w:p w14:paraId="134AB956">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6982" w:type="dxa"/>
            <w:tcBorders>
              <w:top w:val="single" w:color="000000" w:sz="10" w:space="0"/>
              <w:bottom w:val="single" w:color="000000" w:sz="10" w:space="0"/>
              <w:right w:val="nil"/>
            </w:tcBorders>
            <w:vAlign w:val="top"/>
          </w:tcPr>
          <w:p w14:paraId="11109F84">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重点任务及工作方向</w:t>
            </w:r>
          </w:p>
        </w:tc>
      </w:tr>
      <w:tr w14:paraId="7AF59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jc w:val="center"/>
        </w:trPr>
        <w:tc>
          <w:tcPr>
            <w:tcW w:w="1322" w:type="dxa"/>
            <w:tcBorders>
              <w:top w:val="single" w:color="000000" w:sz="10" w:space="0"/>
              <w:left w:val="nil"/>
            </w:tcBorders>
            <w:vAlign w:val="center"/>
          </w:tcPr>
          <w:p w14:paraId="6186893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加大创业</w:t>
            </w:r>
          </w:p>
          <w:p w14:paraId="2525C26D">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培训力度</w:t>
            </w:r>
          </w:p>
        </w:tc>
        <w:tc>
          <w:tcPr>
            <w:tcW w:w="6982" w:type="dxa"/>
            <w:tcBorders>
              <w:top w:val="single" w:color="000000" w:sz="10" w:space="0"/>
              <w:right w:val="nil"/>
            </w:tcBorders>
            <w:vAlign w:val="center"/>
          </w:tcPr>
          <w:p w14:paraId="34BFA4AB">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挖掘平台经济、小店经济孕育创业、吸纳就业，加大对农村电商、跨境电商等新就业形态和灵活就业中有创业需求人员的创业培训，支持发展各类特色小店、手工作坊等小规模经济实体</w:t>
            </w:r>
          </w:p>
        </w:tc>
      </w:tr>
      <w:tr w14:paraId="04CC3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jc w:val="center"/>
        </w:trPr>
        <w:tc>
          <w:tcPr>
            <w:tcW w:w="1322" w:type="dxa"/>
            <w:tcBorders>
              <w:left w:val="nil"/>
            </w:tcBorders>
            <w:vAlign w:val="center"/>
          </w:tcPr>
          <w:p w14:paraId="4C4A2DD8">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支持返乡</w:t>
            </w:r>
          </w:p>
          <w:p w14:paraId="2E00A4BF">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入乡创业</w:t>
            </w:r>
          </w:p>
        </w:tc>
        <w:tc>
          <w:tcPr>
            <w:tcW w:w="6982" w:type="dxa"/>
            <w:tcBorders>
              <w:right w:val="nil"/>
            </w:tcBorders>
            <w:vAlign w:val="center"/>
          </w:tcPr>
          <w:p w14:paraId="59563E73">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鼓励重点群体返乡入乡创业，按规定享受小微企业扶持政策，鼓励对返乡入乡企业招用就业困难人员或高校毕业生、购置农机设备、兴办养老托育服务机构等</w:t>
            </w:r>
          </w:p>
        </w:tc>
      </w:tr>
      <w:tr w14:paraId="2C520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1" w:hRule="atLeast"/>
          <w:jc w:val="center"/>
        </w:trPr>
        <w:tc>
          <w:tcPr>
            <w:tcW w:w="1322" w:type="dxa"/>
            <w:tcBorders>
              <w:left w:val="nil"/>
            </w:tcBorders>
            <w:vAlign w:val="center"/>
          </w:tcPr>
          <w:p w14:paraId="0EC3E792">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鼓励创业</w:t>
            </w:r>
          </w:p>
          <w:p w14:paraId="62A8BD54">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社会氛围</w:t>
            </w:r>
          </w:p>
        </w:tc>
        <w:tc>
          <w:tcPr>
            <w:tcW w:w="6982" w:type="dxa"/>
            <w:tcBorders>
              <w:right w:val="nil"/>
            </w:tcBorders>
            <w:vAlign w:val="center"/>
          </w:tcPr>
          <w:p w14:paraId="30FFEF63">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加强创业正面引导开展创业人物、创业故事宣传，对创办市场主体吸纳就业多、产业带动效果明显的创业者，按规定给予激励表扬</w:t>
            </w:r>
          </w:p>
        </w:tc>
      </w:tr>
      <w:tr w14:paraId="6EFA2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 w:hRule="atLeast"/>
          <w:jc w:val="center"/>
        </w:trPr>
        <w:tc>
          <w:tcPr>
            <w:tcW w:w="1322" w:type="dxa"/>
            <w:tcBorders>
              <w:left w:val="nil"/>
              <w:bottom w:val="single" w:color="000000" w:sz="12" w:space="0"/>
            </w:tcBorders>
            <w:vAlign w:val="center"/>
          </w:tcPr>
          <w:p w14:paraId="44F01970">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加大创业失败人员帮扶</w:t>
            </w:r>
          </w:p>
        </w:tc>
        <w:tc>
          <w:tcPr>
            <w:tcW w:w="6982" w:type="dxa"/>
            <w:tcBorders>
              <w:bottom w:val="single" w:color="000000" w:sz="12" w:space="0"/>
              <w:right w:val="nil"/>
            </w:tcBorders>
            <w:vAlign w:val="center"/>
          </w:tcPr>
          <w:p w14:paraId="23B8F735">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对创业失败人员按规定进行失业登记，及时提供就业服务</w:t>
            </w:r>
          </w:p>
        </w:tc>
      </w:tr>
    </w:tbl>
    <w:p w14:paraId="18023B08">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4CF0D238">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6" w:name="bookmark59"/>
      <w:bookmarkEnd w:id="106"/>
      <w:bookmarkStart w:id="107" w:name="_Toc1165"/>
      <w:r>
        <w:rPr>
          <w:rFonts w:hint="eastAsia"/>
          <w:b w:val="0"/>
          <w:bCs/>
          <w:highlight w:val="none"/>
          <w:lang w:val="en-US" w:eastAsia="zh-CN"/>
        </w:rPr>
        <w:t>第四节 建设高质量教育体系</w:t>
      </w:r>
      <w:bookmarkEnd w:id="107"/>
    </w:p>
    <w:p w14:paraId="209F5664">
      <w:pPr>
        <w:pStyle w:val="6"/>
        <w:pageBreakBefore w:val="0"/>
        <w:widowControl/>
        <w:kinsoku w:val="0"/>
        <w:wordWrap/>
        <w:overflowPunct/>
        <w:topLinePunct w:val="0"/>
        <w:autoSpaceDE w:val="0"/>
        <w:autoSpaceDN w:val="0"/>
        <w:bidi w:val="0"/>
        <w:adjustRightInd w:val="0"/>
        <w:snapToGrid w:val="0"/>
        <w:spacing w:line="640" w:lineRule="exact"/>
        <w:ind w:firstLine="668" w:firstLineChars="200"/>
        <w:jc w:val="both"/>
        <w:textAlignment w:val="baseline"/>
        <w:rPr>
          <w:rFonts w:hint="eastAsia"/>
          <w:spacing w:val="6"/>
          <w:sz w:val="32"/>
          <w:szCs w:val="32"/>
          <w:highlight w:val="none"/>
        </w:rPr>
      </w:pPr>
      <w:r>
        <w:rPr>
          <w:rFonts w:hint="eastAsia"/>
          <w:spacing w:val="7"/>
          <w:sz w:val="32"/>
          <w:szCs w:val="32"/>
          <w:highlight w:val="none"/>
        </w:rPr>
        <w:t>人口出生率低，结构变化大等问题深刻影响教育格局，“十五五”时期，宝山区要积极应对人口变化数据，动态调整教育布局。持续改善办学条件，改建育人小学教学楼、操场及附属设施维修改造项目；发展特色教育；提升教学质量，强化师资队伍；推动科技教育，保障教育数字化转型成果广泛应用，“智慧教育”体系基本建成，覆盖</w:t>
      </w:r>
      <w:r>
        <w:rPr>
          <w:rFonts w:hint="eastAsia" w:ascii="Times New Roman" w:hAnsi="Times New Roman" w:eastAsia="仿宋_GB2312" w:cs="Times New Roman"/>
          <w:spacing w:val="7"/>
          <w:sz w:val="32"/>
          <w:szCs w:val="32"/>
          <w:highlight w:val="none"/>
          <w:lang w:val="en-US" w:eastAsia="zh-CN"/>
        </w:rPr>
        <w:t>率达100%；保障普及普惠率，学前毛入园率达到95%，普惠率达100%，公办园幼儿占比65%;服务终身学</w:t>
      </w:r>
      <w:r>
        <w:rPr>
          <w:rFonts w:hint="eastAsia"/>
          <w:spacing w:val="6"/>
          <w:sz w:val="32"/>
          <w:szCs w:val="32"/>
          <w:highlight w:val="none"/>
        </w:rPr>
        <w:t>习，依托开放大学、社区学院（学校）等主体，广泛开展职业技能提升、老年教育、家庭教育指导等社区教育。</w:t>
      </w:r>
    </w:p>
    <w:p w14:paraId="44B8EDAB">
      <w:pPr>
        <w:pStyle w:val="6"/>
        <w:pageBreakBefore w:val="0"/>
        <w:widowControl/>
        <w:kinsoku w:val="0"/>
        <w:wordWrap/>
        <w:overflowPunct/>
        <w:topLinePunct w:val="0"/>
        <w:autoSpaceDE w:val="0"/>
        <w:autoSpaceDN w:val="0"/>
        <w:bidi w:val="0"/>
        <w:adjustRightInd w:val="0"/>
        <w:snapToGrid w:val="0"/>
        <w:spacing w:line="640" w:lineRule="exact"/>
        <w:ind w:firstLine="640" w:firstLineChars="200"/>
        <w:jc w:val="both"/>
        <w:textAlignment w:val="baseline"/>
        <w:rPr>
          <w:rFonts w:hint="eastAsia"/>
          <w:spacing w:val="6"/>
          <w:sz w:val="32"/>
          <w:szCs w:val="32"/>
          <w:highlight w:val="none"/>
        </w:rPr>
      </w:pPr>
      <w:r>
        <w:rPr>
          <w:rFonts w:hint="eastAsia"/>
          <w:sz w:val="32"/>
          <w:szCs w:val="32"/>
          <w:highlight w:val="none"/>
        </w:rPr>
        <w:t>健全德育育人体系，</w:t>
      </w:r>
      <w:r>
        <w:rPr>
          <w:rFonts w:hint="eastAsia"/>
          <w:spacing w:val="6"/>
          <w:sz w:val="32"/>
          <w:szCs w:val="32"/>
          <w:highlight w:val="none"/>
        </w:rPr>
        <w:t>结合实际把德育目标和内容融合到学校日常管理和教育活动中，健全、完善学校德育工作运行机制；</w:t>
      </w:r>
      <w:r>
        <w:rPr>
          <w:rFonts w:hint="eastAsia"/>
          <w:sz w:val="32"/>
          <w:szCs w:val="32"/>
          <w:highlight w:val="none"/>
        </w:rPr>
        <w:t>提升学生科学教育素养，</w:t>
      </w:r>
      <w:r>
        <w:rPr>
          <w:rFonts w:hint="eastAsia"/>
          <w:spacing w:val="6"/>
          <w:sz w:val="32"/>
          <w:szCs w:val="32"/>
          <w:highlight w:val="none"/>
        </w:rPr>
        <w:t>规范科学类课程开设，强化实验教学，加强实验室建设；</w:t>
      </w:r>
      <w:r>
        <w:rPr>
          <w:rFonts w:hint="eastAsia"/>
          <w:sz w:val="32"/>
          <w:szCs w:val="32"/>
          <w:highlight w:val="none"/>
        </w:rPr>
        <w:t>增强学生体质健康，</w:t>
      </w:r>
      <w:r>
        <w:rPr>
          <w:rFonts w:hint="eastAsia"/>
          <w:spacing w:val="6"/>
          <w:sz w:val="32"/>
          <w:szCs w:val="32"/>
          <w:highlight w:val="none"/>
        </w:rPr>
        <w:t>完善体育教学、训练与竞赛体系，</w:t>
      </w:r>
      <w:r>
        <w:rPr>
          <w:rFonts w:hint="eastAsia"/>
          <w:spacing w:val="6"/>
          <w:sz w:val="32"/>
          <w:szCs w:val="32"/>
          <w:highlight w:val="none"/>
          <w:lang w:val="en-US" w:eastAsia="zh-CN"/>
        </w:rPr>
        <w:t>定</w:t>
      </w:r>
      <w:r>
        <w:rPr>
          <w:rFonts w:hint="eastAsia"/>
          <w:spacing w:val="6"/>
          <w:sz w:val="32"/>
          <w:szCs w:val="32"/>
          <w:highlight w:val="none"/>
        </w:rPr>
        <w:t>期举办运动会或体育节系列活动，深入推进校园足球及冰雪运动，利用场地开展“百万青少年上冰雪活动”。</w:t>
      </w:r>
    </w:p>
    <w:p w14:paraId="064536D5">
      <w:pPr>
        <w:pageBreakBefore w:val="0"/>
        <w:widowControl/>
        <w:kinsoku w:val="0"/>
        <w:wordWrap/>
        <w:overflowPunct/>
        <w:topLinePunct w:val="0"/>
        <w:autoSpaceDE w:val="0"/>
        <w:autoSpaceDN w:val="0"/>
        <w:bidi w:val="0"/>
        <w:adjustRightInd w:val="0"/>
        <w:snapToGrid w:val="0"/>
        <w:spacing w:line="640" w:lineRule="exact"/>
        <w:ind w:right="-212" w:rightChars="-101" w:firstLine="664" w:firstLineChars="200"/>
        <w:textAlignment w:val="baseline"/>
        <w:rPr>
          <w:sz w:val="32"/>
          <w:szCs w:val="32"/>
          <w:highlight w:val="none"/>
        </w:rPr>
      </w:pPr>
      <w:r>
        <w:rPr>
          <w:rFonts w:hint="eastAsia" w:ascii="仿宋_GB2312" w:hAnsi="宋体" w:eastAsia="仿宋_GB2312" w:cs="宋体"/>
          <w:spacing w:val="6"/>
          <w:sz w:val="32"/>
          <w:szCs w:val="32"/>
          <w:highlight w:val="none"/>
        </w:rPr>
        <w:t>加快推进义务教育优质均衡发展，加强义务教育学校标准化建设，逐步缩小城乡、区域、校际、群体差距；</w:t>
      </w:r>
      <w:r>
        <w:rPr>
          <w:rFonts w:hint="eastAsia" w:ascii="仿宋_GB2312" w:eastAsia="仿宋_GB2312"/>
          <w:spacing w:val="6"/>
          <w:sz w:val="32"/>
          <w:szCs w:val="32"/>
          <w:highlight w:val="none"/>
        </w:rPr>
        <w:t>加大义务教育优质均衡发展投入保障力度，深入开展督导评估，有序推进区域优质均衡发展；</w:t>
      </w:r>
      <w:r>
        <w:rPr>
          <w:rFonts w:hint="eastAsia" w:ascii="仿宋_GB2312" w:hAnsi="宋体" w:eastAsia="仿宋_GB2312" w:cs="宋体"/>
          <w:sz w:val="32"/>
          <w:szCs w:val="32"/>
          <w:highlight w:val="none"/>
        </w:rPr>
        <w:t>持续巩固“双减”工作成果</w:t>
      </w:r>
      <w:r>
        <w:rPr>
          <w:rFonts w:hint="eastAsia" w:ascii="仿宋_GB2312" w:hAnsi="宋体" w:eastAsia="仿宋_GB2312" w:cs="宋体"/>
          <w:spacing w:val="6"/>
          <w:sz w:val="32"/>
          <w:szCs w:val="32"/>
          <w:highlight w:val="none"/>
        </w:rPr>
        <w:t>，落实“零起点”教学，强化学校教育主阵地作用，持续推进校内减负提质增效；高质量推进义务教育学校“</w:t>
      </w:r>
      <w:r>
        <w:rPr>
          <w:rFonts w:hint="eastAsia" w:ascii="Times New Roman" w:hAnsi="Times New Roman" w:eastAsia="仿宋_GB2312" w:cs="Times New Roman"/>
          <w:spacing w:val="7"/>
          <w:kern w:val="2"/>
          <w:sz w:val="32"/>
          <w:szCs w:val="32"/>
          <w:highlight w:val="none"/>
          <w:lang w:val="en-US" w:eastAsia="zh-CN" w:bidi="ar-SA"/>
        </w:rPr>
        <w:t>5+2，1+X</w:t>
      </w:r>
      <w:r>
        <w:rPr>
          <w:rFonts w:hint="eastAsia" w:ascii="仿宋_GB2312" w:hAnsi="宋体" w:eastAsia="仿宋_GB2312" w:cs="宋体"/>
          <w:spacing w:val="6"/>
          <w:sz w:val="32"/>
          <w:szCs w:val="32"/>
          <w:highlight w:val="none"/>
        </w:rPr>
        <w:t>”课后服务模式全覆盖，丰富服务内容，全面提升课后服务质量。</w:t>
      </w:r>
    </w:p>
    <w:p w14:paraId="19DE072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jc w:val="both"/>
        <w:textAlignment w:val="baseline"/>
        <w:outlineLvl w:val="9"/>
        <w:rPr>
          <w:rFonts w:hint="eastAsia" w:ascii="仿宋_GB2312" w:hAnsi="仿宋_GB2312" w:eastAsia="仿宋_GB2312" w:cs="仿宋_GB2312"/>
          <w:snapToGrid w:val="0"/>
          <w:color w:val="000000"/>
          <w:spacing w:val="7"/>
          <w:kern w:val="0"/>
          <w:sz w:val="32"/>
          <w:szCs w:val="32"/>
          <w:highlight w:val="none"/>
          <w:lang w:val="en-US" w:eastAsia="zh-CN" w:bidi="ar-SA"/>
        </w:rPr>
      </w:pPr>
    </w:p>
    <w:p w14:paraId="3E0D7874">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表30  教育高质量发展工程</w:t>
      </w:r>
    </w:p>
    <w:tbl>
      <w:tblPr>
        <w:tblStyle w:val="13"/>
        <w:tblW w:w="83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6"/>
        <w:gridCol w:w="7168"/>
      </w:tblGrid>
      <w:tr w14:paraId="528C0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156" w:type="dxa"/>
            <w:tcBorders>
              <w:top w:val="single" w:color="000000" w:sz="10" w:space="0"/>
              <w:left w:val="nil"/>
              <w:bottom w:val="single" w:color="000000" w:sz="10" w:space="0"/>
            </w:tcBorders>
            <w:vAlign w:val="top"/>
          </w:tcPr>
          <w:p w14:paraId="4B63DD4E">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168" w:type="dxa"/>
            <w:tcBorders>
              <w:top w:val="single" w:color="000000" w:sz="10" w:space="0"/>
              <w:bottom w:val="single" w:color="000000" w:sz="10" w:space="0"/>
              <w:right w:val="nil"/>
            </w:tcBorders>
            <w:vAlign w:val="top"/>
          </w:tcPr>
          <w:p w14:paraId="1D8BF2EF">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w:t>
            </w:r>
          </w:p>
        </w:tc>
      </w:tr>
      <w:tr w14:paraId="4694F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7" w:hRule="atLeast"/>
          <w:jc w:val="center"/>
        </w:trPr>
        <w:tc>
          <w:tcPr>
            <w:tcW w:w="1156" w:type="dxa"/>
            <w:tcBorders>
              <w:top w:val="single" w:color="000000" w:sz="10" w:space="0"/>
              <w:left w:val="nil"/>
              <w:bottom w:val="single" w:color="000000" w:sz="12" w:space="0"/>
            </w:tcBorders>
            <w:vAlign w:val="center"/>
          </w:tcPr>
          <w:p w14:paraId="7BBA39A1">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教育</w:t>
            </w:r>
          </w:p>
        </w:tc>
        <w:tc>
          <w:tcPr>
            <w:tcW w:w="7168" w:type="dxa"/>
            <w:tcBorders>
              <w:top w:val="single" w:color="000000" w:sz="10" w:space="0"/>
              <w:bottom w:val="single" w:color="000000" w:sz="12" w:space="0"/>
              <w:right w:val="nil"/>
            </w:tcBorders>
            <w:vAlign w:val="top"/>
          </w:tcPr>
          <w:p w14:paraId="2EE3A83C">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宝山区育人小学教学楼、操场及附属设施维修改造项目</w:t>
            </w:r>
          </w:p>
        </w:tc>
      </w:tr>
    </w:tbl>
    <w:p w14:paraId="2E5A82A3">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4" w:firstLineChars="200"/>
        <w:jc w:val="both"/>
        <w:textAlignment w:val="baseline"/>
        <w:outlineLvl w:val="9"/>
        <w:rPr>
          <w:rFonts w:hint="eastAsia" w:ascii="仿宋_GB2312" w:hAnsi="仿宋_GB2312" w:eastAsia="仿宋_GB2312" w:cs="仿宋_GB2312"/>
          <w:spacing w:val="6"/>
          <w:sz w:val="32"/>
          <w:szCs w:val="32"/>
          <w:highlight w:val="none"/>
        </w:rPr>
      </w:pPr>
    </w:p>
    <w:p w14:paraId="65A9D6B3">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8" w:name="_Toc27297"/>
      <w:r>
        <w:rPr>
          <w:rFonts w:hint="eastAsia"/>
          <w:b w:val="0"/>
          <w:bCs/>
          <w:highlight w:val="none"/>
          <w:lang w:val="en-US" w:eastAsia="zh-CN"/>
        </w:rPr>
        <w:t>第五节 完善医疗卫生服务体系</w:t>
      </w:r>
      <w:bookmarkEnd w:id="108"/>
    </w:p>
    <w:p w14:paraId="43FE21A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进一步健全医疗卫生服务体系，资源配置和服务均衡性逐步提高，疾病防控、救治和应急处置能力明显增强，中西医发展更加协调，有序就医和诊疗体系建设取得积极成效。</w:t>
      </w:r>
    </w:p>
    <w:p w14:paraId="4C4416B9">
      <w:pPr>
        <w:keepNext w:val="0"/>
        <w:keepLines w:val="0"/>
        <w:pageBreakBefore w:val="0"/>
        <w:widowControl/>
        <w:kinsoku w:val="0"/>
        <w:wordWrap/>
        <w:overflowPunct/>
        <w:topLinePunct w:val="0"/>
        <w:autoSpaceDE w:val="0"/>
        <w:autoSpaceDN w:val="0"/>
        <w:bidi w:val="0"/>
        <w:adjustRightInd w:val="0"/>
        <w:snapToGrid w:val="0"/>
        <w:spacing w:line="580" w:lineRule="exact"/>
        <w:ind w:firstLine="668" w:firstLineChars="200"/>
        <w:textAlignment w:val="baseline"/>
        <w:rPr>
          <w:rFonts w:hint="eastAsia" w:ascii="仿宋_GB2312" w:hAnsi="仿宋_GB2312" w:eastAsia="仿宋_GB2312" w:cs="仿宋_GB2312"/>
          <w:snapToGrid w:val="0"/>
          <w:color w:val="000000"/>
          <w:spacing w:val="7"/>
          <w:kern w:val="0"/>
          <w:sz w:val="32"/>
          <w:szCs w:val="32"/>
          <w:highlight w:val="none"/>
          <w:lang w:val="en-US" w:eastAsia="zh-CN" w:bidi="ar-SA"/>
        </w:rPr>
      </w:pPr>
      <w:r>
        <w:rPr>
          <w:rFonts w:hint="eastAsia" w:ascii="仿宋_GB2312" w:hAnsi="仿宋_GB2312" w:eastAsia="仿宋_GB2312" w:cs="仿宋_GB2312"/>
          <w:snapToGrid w:val="0"/>
          <w:color w:val="000000"/>
          <w:spacing w:val="7"/>
          <w:kern w:val="0"/>
          <w:sz w:val="32"/>
          <w:szCs w:val="32"/>
          <w:highlight w:val="none"/>
          <w:lang w:val="en-US" w:eastAsia="zh-CN" w:bidi="ar-SA"/>
        </w:rPr>
        <w:t>推进医疗服务体系建设。构建以公立医院为主体、基层医疗卫生机构为基础、社会医疗机构为补充的优质、均衡、高效医疗服务体系，提升医疗卫生服务能力，加强建设紧密型医联体，推动远程医疗服务网络建设，完善家庭医生签约与分级诊疗。巩固基层医疗卫生服务网底，加强乡镇卫生院、社区卫生服务中心和村卫生室标准化建设。  加强公共卫生体系建设。完善疾病预防控制体系，优化职能设置，明确功能定位，加强区内基层医疗卫生机构的公共卫生科室标准化建设。全面提升疾病防控专业能力，实行分领域专家问诊制度。加强对传统流行重大疾病、新发传染病、重大慢性疾病及其他地方病综合防治。加强和规范用人单位职业病危害因素定期检测工作,及时有效地预防、控制和消除职业病危害,保护劳动者职业健康权益。</w:t>
      </w:r>
    </w:p>
    <w:p w14:paraId="24041E6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napToGrid w:val="0"/>
          <w:color w:val="000000"/>
          <w:spacing w:val="7"/>
          <w:kern w:val="0"/>
          <w:sz w:val="32"/>
          <w:szCs w:val="32"/>
          <w:highlight w:val="none"/>
          <w:lang w:val="en-US" w:eastAsia="zh-CN" w:bidi="ar-SA"/>
        </w:rPr>
      </w:pPr>
      <w:r>
        <w:rPr>
          <w:rFonts w:hint="eastAsia" w:ascii="仿宋_GB2312" w:hAnsi="仿宋_GB2312" w:eastAsia="仿宋_GB2312" w:cs="仿宋_GB2312"/>
          <w:snapToGrid w:val="0"/>
          <w:color w:val="000000"/>
          <w:spacing w:val="7"/>
          <w:kern w:val="0"/>
          <w:sz w:val="32"/>
          <w:szCs w:val="32"/>
          <w:highlight w:val="none"/>
          <w:lang w:val="en-US" w:eastAsia="zh-CN" w:bidi="ar-SA"/>
        </w:rPr>
        <w:t>全面提升医疗服务质量。保障医疗质量安全，完善医疗质量安全管理制度和规范，全面实施临床路径管理。提高服务连续性、便捷性、舒适性，完善双向转诊制度，重点畅通患者上转通道。广泛开展改善就医感受提升患者体验主题活动。逐步拓展日间医疗服务，支持社会力量举办护理院和康复医院（科室）。</w:t>
      </w:r>
    </w:p>
    <w:p w14:paraId="6A57B91D">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7"/>
          <w:sz w:val="32"/>
          <w:szCs w:val="32"/>
          <w:highlight w:val="none"/>
          <w:lang w:val="en-US" w:eastAsia="zh-CN"/>
        </w:rPr>
        <w:t>加强基层医疗卫生人才队伍建设。做好乡村医学人才本土化培养工作，强化就业安置，依法加强履约管理。落实执业医师服务基层制度，鼓励医师多点执业。加强全科医生队伍建设，加强全科专业医师规范化培训和转岗培训。开展村医分级管理试点，激励乡村医生参加学历教育、考取执业（助理）医师资格。积极探索区管乡用和乡聘村用等方式。落实适合乡村医生特点的医疗风险分担机制。</w:t>
      </w:r>
    </w:p>
    <w:p w14:paraId="078F4B16">
      <w:pPr>
        <w:spacing w:before="38" w:line="227" w:lineRule="auto"/>
        <w:jc w:val="center"/>
        <w:rPr>
          <w:rFonts w:hint="eastAsia" w:ascii="方正小标宋简体" w:hAnsi="方正小标宋简体" w:eastAsia="方正小标宋简体" w:cs="方正小标宋简体"/>
          <w:spacing w:val="7"/>
          <w:sz w:val="30"/>
          <w:szCs w:val="30"/>
          <w:highlight w:val="none"/>
          <w:lang w:val="en-US" w:eastAsia="zh-CN"/>
        </w:rPr>
      </w:pPr>
      <w:r>
        <w:rPr>
          <w:rFonts w:hint="eastAsia" w:ascii="方正小标宋简体" w:hAnsi="方正小标宋简体" w:eastAsia="方正小标宋简体" w:cs="方正小标宋简体"/>
          <w:spacing w:val="7"/>
          <w:sz w:val="30"/>
          <w:szCs w:val="30"/>
          <w:highlight w:val="none"/>
          <w:lang w:val="en-US" w:eastAsia="zh-CN"/>
        </w:rPr>
        <w:t>表31  医疗卫生领域提升工程</w:t>
      </w:r>
    </w:p>
    <w:tbl>
      <w:tblPr>
        <w:tblStyle w:val="13"/>
        <w:tblW w:w="82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2"/>
        <w:gridCol w:w="7009"/>
      </w:tblGrid>
      <w:tr w14:paraId="4C3C8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1272" w:type="dxa"/>
            <w:tcBorders>
              <w:top w:val="single" w:color="000000" w:sz="10" w:space="0"/>
              <w:left w:val="nil"/>
              <w:bottom w:val="single" w:color="000000" w:sz="10" w:space="0"/>
            </w:tcBorders>
            <w:vAlign w:val="top"/>
          </w:tcPr>
          <w:p w14:paraId="7665E38D">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009" w:type="dxa"/>
            <w:tcBorders>
              <w:top w:val="single" w:color="000000" w:sz="10" w:space="0"/>
              <w:bottom w:val="single" w:color="000000" w:sz="10" w:space="0"/>
              <w:right w:val="nil"/>
            </w:tcBorders>
            <w:vAlign w:val="top"/>
          </w:tcPr>
          <w:p w14:paraId="38E0339D">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重点任务及重点工作方向</w:t>
            </w:r>
          </w:p>
        </w:tc>
      </w:tr>
      <w:tr w14:paraId="192C0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1272" w:type="dxa"/>
            <w:tcBorders>
              <w:top w:val="single" w:color="000000" w:sz="10" w:space="0"/>
              <w:left w:val="nil"/>
            </w:tcBorders>
            <w:vAlign w:val="center"/>
          </w:tcPr>
          <w:p w14:paraId="505AF75F">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提高医疗卫生服务质量</w:t>
            </w:r>
          </w:p>
        </w:tc>
        <w:tc>
          <w:tcPr>
            <w:tcW w:w="7009" w:type="dxa"/>
            <w:tcBorders>
              <w:top w:val="single" w:color="000000" w:sz="10" w:space="0"/>
              <w:right w:val="nil"/>
            </w:tcBorders>
            <w:vAlign w:val="center"/>
          </w:tcPr>
          <w:p w14:paraId="7F19E95F">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资源配置和服务均衡性逐步提高，疾病防控、救治和应急处置能力明显增强。加强区内基层医疗卫生机构的公共卫生科室标准化建设。构建以公立医院为主体、基层医疗卫生机构为基础、社会医疗机构为补充的优质、均衡、高效医疗服务体系。完善医疗质量安全管理制度和规范，全面实施临床路径管理。提高服务连续性、便捷性、舒适性，完善双向转诊制度，重点畅通患者上转通道</w:t>
            </w:r>
          </w:p>
        </w:tc>
      </w:tr>
      <w:tr w14:paraId="3F30C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1272" w:type="dxa"/>
            <w:tcBorders>
              <w:top w:val="single" w:color="000000" w:sz="10" w:space="0"/>
              <w:left w:val="nil"/>
            </w:tcBorders>
            <w:vAlign w:val="center"/>
          </w:tcPr>
          <w:p w14:paraId="375E7A52">
            <w:pPr>
              <w:pStyle w:val="14"/>
              <w:spacing w:before="75" w:line="321" w:lineRule="auto"/>
              <w:jc w:val="center"/>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加强医疗人才队伍建设</w:t>
            </w:r>
          </w:p>
        </w:tc>
        <w:tc>
          <w:tcPr>
            <w:tcW w:w="7009" w:type="dxa"/>
            <w:tcBorders>
              <w:top w:val="single" w:color="000000" w:sz="10" w:space="0"/>
              <w:right w:val="nil"/>
            </w:tcBorders>
            <w:vAlign w:val="center"/>
          </w:tcPr>
          <w:p w14:paraId="2551110E">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落实执业医师服务基层制度，鼓励医师多点执业。加强全科医生队伍建设，继续加强全科专业住院医师规范化培训和转岗培训。探索区管乡用和乡聘村用等方式。建立适合乡村医生特点的医疗风险分担机制</w:t>
            </w:r>
          </w:p>
        </w:tc>
      </w:tr>
      <w:tr w14:paraId="2D45A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jc w:val="center"/>
        </w:trPr>
        <w:tc>
          <w:tcPr>
            <w:tcW w:w="1272" w:type="dxa"/>
            <w:tcBorders>
              <w:left w:val="nil"/>
              <w:bottom w:val="single" w:color="000000" w:sz="12" w:space="0"/>
            </w:tcBorders>
            <w:vAlign w:val="center"/>
          </w:tcPr>
          <w:p w14:paraId="6A3E33D7">
            <w:pPr>
              <w:pStyle w:val="14"/>
              <w:spacing w:before="75" w:line="321" w:lineRule="auto"/>
              <w:jc w:val="center"/>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持续完善疾病防控体系</w:t>
            </w:r>
          </w:p>
        </w:tc>
        <w:tc>
          <w:tcPr>
            <w:tcW w:w="7009" w:type="dxa"/>
            <w:tcBorders>
              <w:bottom w:val="single" w:color="000000" w:sz="12" w:space="0"/>
              <w:right w:val="nil"/>
            </w:tcBorders>
            <w:vAlign w:val="center"/>
          </w:tcPr>
          <w:p w14:paraId="1E9FAA8F">
            <w:pPr>
              <w:pStyle w:val="14"/>
              <w:spacing w:before="75" w:line="321" w:lineRule="auto"/>
              <w:jc w:val="both"/>
              <w:rPr>
                <w:rFonts w:hint="default"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实施宝山区疾病预防控制中心建设及设备</w:t>
            </w:r>
            <w:r>
              <w:rPr>
                <w:rFonts w:hint="eastAsia" w:ascii="仿宋_GB2312" w:hAnsi="仿宋_GB2312" w:eastAsia="仿宋_GB2312" w:cs="仿宋_GB2312"/>
                <w:color w:val="000000" w:themeColor="text1"/>
                <w:spacing w:val="5"/>
                <w:sz w:val="24"/>
                <w:szCs w:val="24"/>
                <w:highlight w:val="none"/>
                <w:lang w:val="en-US" w:eastAsia="zh-CN"/>
                <w14:textFill>
                  <w14:solidFill>
                    <w14:schemeClr w14:val="tx1"/>
                  </w14:solidFill>
                </w14:textFill>
              </w:rPr>
              <w:t>采购项目、宝山区基层社区卫生服务站能力提升及环境改造项目、宝</w:t>
            </w:r>
            <w:r>
              <w:rPr>
                <w:rFonts w:hint="eastAsia" w:ascii="仿宋_GB2312" w:hAnsi="仿宋_GB2312" w:eastAsia="仿宋_GB2312" w:cs="仿宋_GB2312"/>
                <w:spacing w:val="5"/>
                <w:sz w:val="24"/>
                <w:szCs w:val="24"/>
                <w:highlight w:val="none"/>
                <w:lang w:val="en-US" w:eastAsia="zh-CN"/>
              </w:rPr>
              <w:t>山区人民医院康复护理改造项目</w:t>
            </w:r>
          </w:p>
        </w:tc>
      </w:tr>
    </w:tbl>
    <w:p w14:paraId="729A7A2A">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3313E34E">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09" w:name="_Toc29035"/>
      <w:r>
        <w:rPr>
          <w:rFonts w:hint="eastAsia"/>
          <w:b w:val="0"/>
          <w:bCs/>
          <w:highlight w:val="none"/>
          <w:lang w:val="en-US" w:eastAsia="zh-CN"/>
        </w:rPr>
        <w:t>第六节 兜牢兜实社会保障底线</w:t>
      </w:r>
      <w:bookmarkEnd w:id="109"/>
    </w:p>
    <w:p w14:paraId="1F4FFD8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实施全民参保计划，加快发展多层次多支柱养老保险体系，扩大养老保险覆盖范围，与全市同步稳步提高基础养老金待遇水平，持续强化社保基金风险防控体系和社保基金监管保障建设。全面开展低保边缘家庭和刚性支出困难家庭认定，形成按照困难程度分层管理的梯度救助格局，线上线下精准识别救助对象，完善“大数据比对+铁脚板摸排”工作机制，做到应保尽保、应救尽救。落实基本医疗保险筹资和待遇合理调整机制、大病保险和医疗救助制度。持续巩固基本医疗保险覆盖面，贯彻落实医保惠企利民政策，为群众提供更加优质高效的经办服务，不断提升参保群众的获得感、幸福感、安全感。落实失业保险和工伤保险政策。完善分层分类社会救助体系，建立低收入人口动态监测机制，逐年提高城乡低保和特困人员供养标准。健全退役军人抚恤优待长效机制，逐步提高优抚对象抚恤和生活补助标准。提升殡葬和婚姻服务设施建设。建立留守妇女、困境儿童、留守儿童关爱服务体系，加强儿童福利保障。健全残疾人康复专项保障政策，构建完善的精神卫生福利服务。</w:t>
      </w:r>
    </w:p>
    <w:p w14:paraId="3DB71545">
      <w:pPr>
        <w:spacing w:before="38" w:line="227" w:lineRule="auto"/>
        <w:jc w:val="center"/>
        <w:rPr>
          <w:rFonts w:ascii="Arial"/>
          <w:sz w:val="2"/>
          <w:highlight w:val="none"/>
        </w:rPr>
      </w:pPr>
      <w:bookmarkStart w:id="110" w:name="bookmark88"/>
      <w:bookmarkEnd w:id="110"/>
      <w:r>
        <w:rPr>
          <w:rFonts w:hint="eastAsia" w:ascii="方正小标宋简体" w:hAnsi="方正小标宋简体" w:eastAsia="方正小标宋简体" w:cs="方正小标宋简体"/>
          <w:spacing w:val="7"/>
          <w:sz w:val="30"/>
          <w:szCs w:val="30"/>
          <w:highlight w:val="none"/>
          <w:lang w:val="en-US" w:eastAsia="zh-CN"/>
        </w:rPr>
        <w:t>表32  社会保障提升工程</w:t>
      </w:r>
    </w:p>
    <w:tbl>
      <w:tblPr>
        <w:tblStyle w:val="13"/>
        <w:tblW w:w="8304" w:type="dxa"/>
        <w:tblInd w:w="14"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115"/>
        <w:gridCol w:w="7189"/>
      </w:tblGrid>
      <w:tr w14:paraId="7DB92A4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16" w:hRule="atLeast"/>
        </w:trPr>
        <w:tc>
          <w:tcPr>
            <w:tcW w:w="1115" w:type="dxa"/>
            <w:tcBorders>
              <w:left w:val="nil"/>
              <w:right w:val="single" w:color="000000" w:sz="2" w:space="0"/>
            </w:tcBorders>
            <w:vAlign w:val="top"/>
          </w:tcPr>
          <w:p w14:paraId="4C0C7FF2">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189" w:type="dxa"/>
            <w:tcBorders>
              <w:left w:val="single" w:color="000000" w:sz="2" w:space="0"/>
              <w:right w:val="nil"/>
            </w:tcBorders>
            <w:vAlign w:val="top"/>
          </w:tcPr>
          <w:p w14:paraId="0E68069D">
            <w:pPr>
              <w:spacing w:before="122" w:line="229" w:lineRule="auto"/>
              <w:jc w:val="center"/>
              <w:rPr>
                <w:rFonts w:hint="default"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重点工作及发展方向</w:t>
            </w:r>
          </w:p>
        </w:tc>
      </w:tr>
      <w:tr w14:paraId="20BF8D7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03" w:hRule="atLeast"/>
        </w:trPr>
        <w:tc>
          <w:tcPr>
            <w:tcW w:w="1115" w:type="dxa"/>
            <w:tcBorders>
              <w:left w:val="nil"/>
              <w:bottom w:val="single" w:color="000000" w:sz="6" w:space="0"/>
              <w:right w:val="single" w:color="000000" w:sz="2" w:space="0"/>
            </w:tcBorders>
            <w:vAlign w:val="top"/>
          </w:tcPr>
          <w:p w14:paraId="1DE7E89A">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p>
          <w:p w14:paraId="3B8B1856">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p>
          <w:p w14:paraId="222FE40F">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社会保障</w:t>
            </w:r>
          </w:p>
        </w:tc>
        <w:tc>
          <w:tcPr>
            <w:tcW w:w="7189" w:type="dxa"/>
            <w:tcBorders>
              <w:left w:val="single" w:color="000000" w:sz="2" w:space="0"/>
              <w:bottom w:val="single" w:color="000000" w:sz="6" w:space="0"/>
              <w:right w:val="nil"/>
            </w:tcBorders>
            <w:vAlign w:val="top"/>
          </w:tcPr>
          <w:p w14:paraId="293853BC">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扩大养老保险覆盖范围，强化社保基金风险防控体系和社保基金监管保障建设，开展低保边缘家庭和刚性支出困难家庭认定，扩大基本医疗保险覆盖面，落实失业保险和工伤保险政策，确保中小微企业应保尽保，健全退役军人抚恤优待长效机制，逐步提高优抚对象抚恤和生活补助标准，建立留守妇女、困境儿童、留守儿童关爱服务体系，健全残疾人康复专项保障政策</w:t>
            </w:r>
          </w:p>
        </w:tc>
      </w:tr>
    </w:tbl>
    <w:p w14:paraId="6EFE7580">
      <w:pPr>
        <w:bidi w:val="0"/>
        <w:rPr>
          <w:rFonts w:hint="eastAsia"/>
          <w:highlight w:val="none"/>
          <w:lang w:val="en-US" w:eastAsia="zh-CN"/>
        </w:rPr>
      </w:pPr>
    </w:p>
    <w:p w14:paraId="03C75A4C">
      <w:pPr>
        <w:bidi w:val="0"/>
        <w:rPr>
          <w:rFonts w:hint="eastAsia" w:ascii="仿宋_GB2312" w:hAnsi="仿宋_GB2312" w:eastAsia="仿宋_GB2312" w:cs="仿宋_GB2312"/>
          <w:snapToGrid w:val="0"/>
          <w:color w:val="000000"/>
          <w:spacing w:val="7"/>
          <w:kern w:val="0"/>
          <w:sz w:val="32"/>
          <w:szCs w:val="32"/>
          <w:highlight w:val="none"/>
          <w:lang w:val="en-US" w:eastAsia="zh-CN" w:bidi="ar-SA"/>
        </w:rPr>
      </w:pPr>
    </w:p>
    <w:p w14:paraId="19E5A489">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default" w:ascii="方正小标宋简体" w:hAnsi="方正小标宋简体" w:eastAsia="方正小标宋简体" w:cs="方正小标宋简体"/>
          <w:b w:val="0"/>
          <w:bCs/>
          <w:sz w:val="36"/>
          <w:szCs w:val="36"/>
          <w:highlight w:val="none"/>
          <w:lang w:val="en-US" w:eastAsia="zh-CN"/>
        </w:rPr>
      </w:pPr>
      <w:bookmarkStart w:id="111" w:name="_Toc12210"/>
      <w:r>
        <w:rPr>
          <w:rFonts w:hint="eastAsia" w:ascii="方正小标宋简体" w:hAnsi="方正小标宋简体" w:eastAsia="方正小标宋简体" w:cs="方正小标宋简体"/>
          <w:b w:val="0"/>
          <w:bCs/>
          <w:sz w:val="36"/>
          <w:szCs w:val="36"/>
          <w:highlight w:val="none"/>
          <w:lang w:val="en-US" w:eastAsia="zh-CN"/>
        </w:rPr>
        <w:t>第十三章  统筹发展和安全 提升本质安全水平</w:t>
      </w:r>
      <w:bookmarkEnd w:id="111"/>
    </w:p>
    <w:p w14:paraId="2281E6A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napToGrid w:val="0"/>
          <w:color w:val="000000"/>
          <w:spacing w:val="7"/>
          <w:kern w:val="0"/>
          <w:sz w:val="32"/>
          <w:szCs w:val="32"/>
          <w:highlight w:val="none"/>
          <w:lang w:val="en-US" w:eastAsia="zh-CN" w:bidi="ar-SA"/>
        </w:rPr>
      </w:pPr>
      <w:r>
        <w:rPr>
          <w:rFonts w:hint="eastAsia" w:ascii="仿宋_GB2312" w:hAnsi="仿宋_GB2312" w:eastAsia="仿宋_GB2312" w:cs="仿宋_GB2312"/>
          <w:spacing w:val="7"/>
          <w:sz w:val="32"/>
          <w:szCs w:val="32"/>
          <w:highlight w:val="none"/>
          <w:lang w:val="en-US" w:eastAsia="zh-CN"/>
        </w:rPr>
        <w:t>坚持人民至上、生命至上，筑牢安全防线，建立以安全为生产基础的综合性、全方位、系统化的城区安全发展体系。以经济建设为中心，强化国家经济安全保障，提高经济整体实力、竞争力和抵御各种冲击与威胁的能力，为全面建成现代化强区奠定坚实的物质技术基础。</w:t>
      </w:r>
    </w:p>
    <w:p w14:paraId="2FA551E2">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ascii="Arial" w:hAnsi="Arial" w:eastAsia="黑体" w:cs="Arial"/>
          <w:b w:val="0"/>
          <w:bCs/>
          <w:snapToGrid w:val="0"/>
          <w:color w:val="000000"/>
          <w:kern w:val="0"/>
          <w:szCs w:val="21"/>
          <w:highlight w:val="none"/>
          <w:lang w:val="en-US" w:eastAsia="zh-CN" w:bidi="ar-SA"/>
        </w:rPr>
      </w:pPr>
      <w:bookmarkStart w:id="112" w:name="_Toc17374"/>
      <w:r>
        <w:rPr>
          <w:rFonts w:hint="eastAsia"/>
          <w:b w:val="0"/>
          <w:bCs/>
          <w:highlight w:val="none"/>
          <w:lang w:val="en-US" w:eastAsia="zh-CN"/>
        </w:rPr>
        <w:t>第一节 加强国家安全体系和能力建设</w:t>
      </w:r>
      <w:bookmarkEnd w:id="112"/>
    </w:p>
    <w:p w14:paraId="1BA2E44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推进国家安全体系和能力现代化，深入贯彻落实习近平总书记关于国家安全的重要论述，坚定不移贯彻总体国家安全观，巩固树立大安全理念，坚决把党的领导贯彻到维护国家安全工作各方面全过程，统筹发展和安全，坚决维护以政治安全为首的各领域国家安全。持续完善重点领域和重点专项国家安全工作协调机制，强化国家安全大情报体系、风险监测预警体系、危机管控体系和国家安全保障体系建设。加强全民国家安全教育，不断提升、维护和塑造国家安全能力。扎实推进反渗透反颠覆工作，阻断境外反华敌对势力与境内勾连渠道。妥善应对经济社会热点事件，抵御和防范境外宗教渗透，依法处置非法宗教活动。加强网上敏感突发舆论巡查监测。健全完善维护国家安全的预警研判、风险管控和督查考核机制。持续增强维护国家国防安全、粮食安全、生态安全、能源安全、产业安全能力。开展国家安全教育“三进”（机关、学校、社区）活动，加强国家安全执法，推进国家安全风险治理由事后反应、被动应对向事前预警、快速反应转变。严密防范和坚决打击各种渗透颠覆破坏活动、暴力恐怖活动、民族分裂活动、宗教极端活动，巩固国家安全人民防线。突出做好政治安全风险防范化解工作，加强意识形态阵地建设和管理。全面加强网络安全、信息安全保障体系和能力建设，重点维护互联网、大数据等新兴领域安全。适应国防需求，加强军民融合协同发展，强化人民防空工程建设管理，提高国防动员能力，形成“平战急”相融合的保障体系，持续开展全民国家安全教育，增强全民国家安全意识和素养，凝聚捍卫国家安全的强大社会合力，坚决维护国家主权、安全和发展利益。</w:t>
      </w:r>
    </w:p>
    <w:p w14:paraId="513280F8">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0" w:firstLineChars="200"/>
        <w:jc w:val="both"/>
        <w:textAlignment w:val="baseline"/>
        <w:outlineLvl w:val="9"/>
        <w:rPr>
          <w:rFonts w:hint="eastAsia" w:ascii="仿宋_GB2312" w:hAnsi="仿宋_GB2312" w:eastAsia="仿宋_GB2312" w:cs="仿宋_GB2312"/>
          <w:sz w:val="32"/>
          <w:szCs w:val="32"/>
          <w:highlight w:val="none"/>
        </w:rPr>
      </w:pPr>
    </w:p>
    <w:p w14:paraId="37D6148D">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13" w:name="_Toc1413"/>
      <w:r>
        <w:rPr>
          <w:rFonts w:hint="eastAsia"/>
          <w:b w:val="0"/>
          <w:bCs/>
          <w:highlight w:val="none"/>
          <w:lang w:val="en-US" w:eastAsia="zh-CN"/>
        </w:rPr>
        <w:t>第二节 防范化解重点领域风险</w:t>
      </w:r>
      <w:bookmarkEnd w:id="113"/>
    </w:p>
    <w:p w14:paraId="25F7996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全面加强经济安全。健全对外开放安全保障体系，实现重要产业、基础设施等关键领域安全可控。完善供应链安全风险预警监测体系和风险防控体系，提高动态监测和实时预警能力，增强应对重大冲击能力。全面加强粮食安全。实施优质粮食工程，严守耕地红线，严禁耕地“非农化”、非粮化，稳定粮食播种面积，提高农牧业生产能力，建立健全粮食产购储加销体系。全面加强能源安全，优化能源结构，优先发展新能源产业，推进国</w:t>
      </w:r>
      <w:r>
        <w:rPr>
          <w:rFonts w:hint="eastAsia" w:ascii="Times New Roman" w:hAnsi="Times New Roman" w:eastAsia="仿宋_GB2312" w:cs="Times New Roman"/>
          <w:spacing w:val="7"/>
          <w:sz w:val="32"/>
          <w:szCs w:val="32"/>
          <w:highlight w:val="none"/>
          <w:lang w:val="en-US" w:eastAsia="zh-CN"/>
        </w:rPr>
        <w:t>能宝山8万千瓦</w:t>
      </w:r>
      <w:r>
        <w:rPr>
          <w:rFonts w:hint="eastAsia" w:ascii="仿宋_GB2312" w:hAnsi="仿宋_GB2312" w:eastAsia="仿宋_GB2312" w:cs="仿宋_GB2312"/>
          <w:spacing w:val="7"/>
          <w:sz w:val="32"/>
          <w:szCs w:val="32"/>
          <w:highlight w:val="none"/>
          <w:lang w:val="en-US" w:eastAsia="zh-CN"/>
        </w:rPr>
        <w:t>光伏复合发电项目建设，提高我区新能源产业占比。全面加强产业安全，坚决兜住以粮油肉蛋奶等生活必需品为主的民生产业安全底线。维护电力、供水、交通、消防、通信、网络等重要基础设施安全。全面加强生态安全，推进生态功能区建设，统筹实施历史遗留矿山治理工程，深入推进退耕还林还草还湿，建设生态安全监测智慧平台，筑牢生态安全屏障。</w:t>
      </w:r>
    </w:p>
    <w:p w14:paraId="4E45585E">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5D5CC1F1">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14" w:name="_Toc17529"/>
      <w:r>
        <w:rPr>
          <w:rFonts w:hint="eastAsia"/>
          <w:b w:val="0"/>
          <w:bCs/>
          <w:highlight w:val="none"/>
          <w:lang w:val="en-US" w:eastAsia="zh-CN"/>
        </w:rPr>
        <w:t>第三节 持续强化公共安全治理</w:t>
      </w:r>
      <w:bookmarkEnd w:id="114"/>
    </w:p>
    <w:p w14:paraId="1F84B90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坚决维护重点领域安全，树牢大安全理念，有效防范化解经济、金融、文化、社会、科技、网络、数据、生物、海外利益、人工智能等领域安全风险，确保全区安全形势持续稳定。</w:t>
      </w:r>
    </w:p>
    <w:p w14:paraId="6E507F2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完善公共安全体系，推动公共安全治理模式向事前预防转型，全力提高公共安全保障能力。筑牢安全生产防线。严格落实“三管三必须”要求，严查彻改重点行业、重点领域安全隐患，坚决遏制重特大事故发生。强化突发事件应急处置能力。完善应急指挥体系，健全突发事件应急预案。提升自然灾害风险防范和应对能力，加强突发事件舆论引导管控。科学研判、稳妥处置突发公共卫生事件，提升各类疫情防治和应急处置能力。完善食品药品安全责任体系。严格食品药品监管，落实“四个最严”要求，提高食品安全全链条监管水平。完善应急交通保障体系，规划运输通道，建立联动机制，储备装备，加强抗灾能力。</w:t>
      </w:r>
    </w:p>
    <w:p w14:paraId="7172FA20">
      <w:pPr>
        <w:spacing w:before="38" w:line="227" w:lineRule="auto"/>
        <w:jc w:val="center"/>
        <w:rPr>
          <w:rFonts w:ascii="Arial"/>
          <w:sz w:val="2"/>
          <w:highlight w:val="none"/>
        </w:rPr>
      </w:pPr>
      <w:r>
        <w:rPr>
          <w:rFonts w:hint="eastAsia" w:ascii="方正小标宋简体" w:hAnsi="方正小标宋简体" w:eastAsia="方正小标宋简体" w:cs="方正小标宋简体"/>
          <w:spacing w:val="7"/>
          <w:sz w:val="30"/>
          <w:szCs w:val="30"/>
          <w:highlight w:val="none"/>
          <w:lang w:val="en-US" w:eastAsia="zh-CN"/>
        </w:rPr>
        <w:t>表33  应急处置能力提升工程</w:t>
      </w:r>
    </w:p>
    <w:tbl>
      <w:tblPr>
        <w:tblStyle w:val="13"/>
        <w:tblW w:w="8304" w:type="dxa"/>
        <w:tblInd w:w="14"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153"/>
        <w:gridCol w:w="7151"/>
      </w:tblGrid>
      <w:tr w14:paraId="79E673E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16" w:hRule="atLeast"/>
        </w:trPr>
        <w:tc>
          <w:tcPr>
            <w:tcW w:w="1153" w:type="dxa"/>
            <w:tcBorders>
              <w:left w:val="nil"/>
              <w:right w:val="single" w:color="000000" w:sz="2" w:space="0"/>
            </w:tcBorders>
            <w:vAlign w:val="top"/>
          </w:tcPr>
          <w:p w14:paraId="595ABD22">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类别</w:t>
            </w:r>
          </w:p>
        </w:tc>
        <w:tc>
          <w:tcPr>
            <w:tcW w:w="7151" w:type="dxa"/>
            <w:tcBorders>
              <w:left w:val="single" w:color="000000" w:sz="2" w:space="0"/>
              <w:right w:val="nil"/>
            </w:tcBorders>
            <w:vAlign w:val="top"/>
          </w:tcPr>
          <w:p w14:paraId="3D529489">
            <w:pPr>
              <w:spacing w:before="122" w:line="229" w:lineRule="auto"/>
              <w:jc w:val="center"/>
              <w:rPr>
                <w:rFonts w:hint="eastAsia" w:ascii="黑体" w:hAnsi="黑体" w:eastAsia="黑体" w:cs="黑体"/>
                <w:b w:val="0"/>
                <w:bCs w:val="0"/>
                <w:spacing w:val="2"/>
                <w:sz w:val="24"/>
                <w:szCs w:val="24"/>
                <w:highlight w:val="none"/>
                <w:lang w:val="en-US" w:eastAsia="zh-CN"/>
              </w:rPr>
            </w:pPr>
            <w:r>
              <w:rPr>
                <w:rFonts w:hint="eastAsia" w:ascii="黑体" w:hAnsi="黑体" w:eastAsia="黑体" w:cs="黑体"/>
                <w:b w:val="0"/>
                <w:bCs w:val="0"/>
                <w:spacing w:val="2"/>
                <w:sz w:val="24"/>
                <w:szCs w:val="24"/>
                <w:highlight w:val="none"/>
                <w:lang w:val="en-US" w:eastAsia="zh-CN"/>
              </w:rPr>
              <w:t>重点项目</w:t>
            </w:r>
          </w:p>
        </w:tc>
      </w:tr>
      <w:tr w14:paraId="2F15C35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684" w:hRule="atLeast"/>
        </w:trPr>
        <w:tc>
          <w:tcPr>
            <w:tcW w:w="1153" w:type="dxa"/>
            <w:tcBorders>
              <w:left w:val="nil"/>
              <w:right w:val="single" w:color="000000" w:sz="2" w:space="0"/>
            </w:tcBorders>
            <w:shd w:val="clear" w:color="auto" w:fill="auto"/>
            <w:vAlign w:val="top"/>
          </w:tcPr>
          <w:p w14:paraId="589B4995">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p>
          <w:p w14:paraId="3C6A8C4B">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应急处置能力提升</w:t>
            </w:r>
          </w:p>
        </w:tc>
        <w:tc>
          <w:tcPr>
            <w:tcW w:w="7151" w:type="dxa"/>
            <w:tcBorders>
              <w:left w:val="single" w:color="000000" w:sz="2" w:space="0"/>
              <w:right w:val="nil"/>
            </w:tcBorders>
            <w:shd w:val="clear" w:color="auto" w:fill="auto"/>
            <w:vAlign w:val="top"/>
          </w:tcPr>
          <w:p w14:paraId="77BEBBF2">
            <w:pPr>
              <w:pStyle w:val="14"/>
              <w:spacing w:before="75" w:line="321" w:lineRule="auto"/>
              <w:jc w:val="both"/>
              <w:rPr>
                <w:rFonts w:hint="eastAsia" w:ascii="仿宋_GB2312" w:hAnsi="仿宋_GB2312" w:eastAsia="仿宋_GB2312" w:cs="仿宋_GB2312"/>
                <w:spacing w:val="5"/>
                <w:sz w:val="24"/>
                <w:szCs w:val="24"/>
                <w:highlight w:val="none"/>
                <w:lang w:val="en-US" w:eastAsia="zh-CN"/>
              </w:rPr>
            </w:pPr>
            <w:r>
              <w:rPr>
                <w:rFonts w:hint="eastAsia" w:ascii="仿宋_GB2312" w:hAnsi="仿宋_GB2312" w:eastAsia="仿宋_GB2312" w:cs="仿宋_GB2312"/>
                <w:spacing w:val="5"/>
                <w:sz w:val="24"/>
                <w:szCs w:val="24"/>
                <w:highlight w:val="none"/>
                <w:lang w:val="en-US" w:eastAsia="zh-CN"/>
              </w:rPr>
              <w:t>宝山区应急物资储备库建设项目、宝山区应急避难场所建设项目、宝山区应急指挥中心升级和应急装备提升项目（包含宝山区应急装备提升项目、宝山区应急指挥中心升级项目）、宝山区人防疏散场所与应急避难场所融合共建项目、宝山区地下人防指挥所建设项目</w:t>
            </w:r>
          </w:p>
        </w:tc>
      </w:tr>
    </w:tbl>
    <w:p w14:paraId="136CF83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56" w:firstLineChars="200"/>
        <w:jc w:val="both"/>
        <w:textAlignment w:val="baseline"/>
        <w:outlineLvl w:val="9"/>
        <w:rPr>
          <w:rFonts w:hint="eastAsia" w:ascii="仿宋_GB2312" w:hAnsi="仿宋_GB2312" w:eastAsia="仿宋_GB2312" w:cs="仿宋_GB2312"/>
          <w:spacing w:val="4"/>
          <w:sz w:val="32"/>
          <w:szCs w:val="32"/>
          <w:highlight w:val="none"/>
        </w:rPr>
      </w:pPr>
    </w:p>
    <w:p w14:paraId="3354507B">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15" w:name="_Toc16529"/>
      <w:r>
        <w:rPr>
          <w:rFonts w:hint="eastAsia"/>
          <w:b w:val="0"/>
          <w:bCs/>
          <w:highlight w:val="none"/>
          <w:lang w:val="en-US" w:eastAsia="zh-CN"/>
        </w:rPr>
        <w:t>第四节 加快提升社会治理水平</w:t>
      </w:r>
      <w:bookmarkEnd w:id="115"/>
    </w:p>
    <w:p w14:paraId="72B23C90">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坚持中国共产党领导的多党合作和政治协商制度，更好发挥民主党派人士、工商联和无党派人士作用。完善大统战工作格局，扎实做好党的民族宗教工作，巩固和发展最广泛的爱国统一战线。完善社会矛盾纠纷多元化解机制，畅通和规范群众诉求表达、利益协调、权益保障通道，建立健全源头防控、排查梳理、纠纷化解、应急处置的社会矛盾纠纷多元预防调处化解综合机制。健全调解工作体系，推动人民调解、行政调解、司法调解有机衔接，完善信访制度，打造源头防控、排查梳理、纠纷化解、应急处置的社会矛盾综合治理机制。完善社会心理服务体系和危机干预机制，重视和加强特殊人群的心理疏导。高水平建设平安城市。构建打防管控一体的立体化、智能化社会治安防控体系，建立常态化扫黑除恶制度机制，严厉打击暴力恐怖等犯罪行为，保持社会和谐稳定。强化社会风险隐患源头治理，深化矛盾纠纷排查化解，加强突发事件应急处置，严防发生个人极端事件和重大群体性事件。推动行政执法和刑事司法有效衔接，破解新型案件证据认定、法律适用难题。坚持专群结合、群防群治，大力推进社会治安防控体系立体化，推进智慧街面巡防、智慧内保建设，加快建设智慧安防小区。推进智慧法院、智慧检务、智慧警务建设。抓好禁毒工作，建立长效机制，打好打赢禁毒人民战争。构建网络社会防控体系，建立“三位一体”治理机制，净化网络空间，打击新型网络犯罪，全力维护社会治安大局稳定。</w:t>
      </w:r>
    </w:p>
    <w:p w14:paraId="1220333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49897324">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67CA0EF4">
      <w:pPr>
        <w:pStyle w:val="2"/>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580" w:lineRule="exact"/>
        <w:jc w:val="center"/>
        <w:textAlignment w:val="baseline"/>
        <w:rPr>
          <w:rFonts w:hint="eastAsia" w:ascii="方正小标宋简体" w:hAnsi="方正小标宋简体" w:eastAsia="方正小标宋简体" w:cs="方正小标宋简体"/>
          <w:b w:val="0"/>
          <w:bCs/>
          <w:sz w:val="36"/>
          <w:szCs w:val="36"/>
          <w:highlight w:val="none"/>
          <w:lang w:val="en-US" w:eastAsia="zh-CN"/>
        </w:rPr>
      </w:pPr>
      <w:bookmarkStart w:id="116" w:name="_Toc30825"/>
      <w:bookmarkStart w:id="117" w:name="_Toc19260"/>
      <w:bookmarkStart w:id="118" w:name="_Toc20235"/>
      <w:bookmarkStart w:id="119" w:name="_Toc4957"/>
      <w:r>
        <w:rPr>
          <w:rFonts w:hint="eastAsia" w:ascii="方正小标宋简体" w:hAnsi="方正小标宋简体" w:eastAsia="方正小标宋简体" w:cs="方正小标宋简体"/>
          <w:b w:val="0"/>
          <w:bCs/>
          <w:sz w:val="36"/>
          <w:szCs w:val="36"/>
          <w:highlight w:val="none"/>
          <w:lang w:val="en-US" w:eastAsia="zh-CN"/>
        </w:rPr>
        <w:t xml:space="preserve">第十四章  </w:t>
      </w:r>
      <w:bookmarkEnd w:id="116"/>
      <w:bookmarkEnd w:id="117"/>
      <w:bookmarkEnd w:id="118"/>
      <w:r>
        <w:rPr>
          <w:rFonts w:hint="eastAsia" w:ascii="方正小标宋简体" w:hAnsi="方正小标宋简体" w:eastAsia="方正小标宋简体" w:cs="方正小标宋简体"/>
          <w:b w:val="0"/>
          <w:bCs/>
          <w:sz w:val="36"/>
          <w:szCs w:val="36"/>
          <w:highlight w:val="none"/>
          <w:lang w:val="en-US" w:eastAsia="zh-CN"/>
        </w:rPr>
        <w:t>坚持党的全面领导 凝聚高质量发展合力</w:t>
      </w:r>
      <w:bookmarkEnd w:id="119"/>
    </w:p>
    <w:p w14:paraId="6200A25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bookmarkStart w:id="120" w:name="bookmark91"/>
      <w:bookmarkEnd w:id="120"/>
      <w:r>
        <w:rPr>
          <w:rFonts w:hint="eastAsia" w:ascii="仿宋_GB2312" w:hAnsi="仿宋_GB2312" w:eastAsia="仿宋_GB2312" w:cs="仿宋_GB2312"/>
          <w:spacing w:val="7"/>
          <w:sz w:val="32"/>
          <w:szCs w:val="32"/>
          <w:highlight w:val="none"/>
          <w:lang w:val="en-US" w:eastAsia="zh-CN"/>
        </w:rPr>
        <w:t>本规划经宝山区人民代表大会审议通过，是宝山区未来五年经济社会发展的纲领性文件，是实现</w:t>
      </w:r>
      <w:r>
        <w:rPr>
          <w:rFonts w:hint="eastAsia" w:ascii="Times New Roman" w:hAnsi="Times New Roman" w:eastAsia="仿宋_GB2312" w:cs="Times New Roman"/>
          <w:spacing w:val="7"/>
          <w:sz w:val="32"/>
          <w:szCs w:val="32"/>
          <w:highlight w:val="none"/>
          <w:lang w:val="en-US" w:eastAsia="zh-CN"/>
        </w:rPr>
        <w:t>二〇三五</w:t>
      </w:r>
      <w:r>
        <w:rPr>
          <w:rFonts w:hint="eastAsia" w:ascii="仿宋_GB2312" w:hAnsi="仿宋_GB2312" w:eastAsia="仿宋_GB2312" w:cs="仿宋_GB2312"/>
          <w:spacing w:val="7"/>
          <w:sz w:val="32"/>
          <w:szCs w:val="32"/>
          <w:highlight w:val="none"/>
          <w:lang w:val="en-US" w:eastAsia="zh-CN"/>
        </w:rPr>
        <w:t>年远景目标的重要指导性文件，全区各企事业单位必须坚持党的全面领导，充分调动各方面积极性，强化法治思维和创新思维，完善规划实施机制，强调政策统筹协调，维护规划的严肃性和权威性，保障规划顺利实施。</w:t>
      </w:r>
    </w:p>
    <w:p w14:paraId="60F5B044">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21" w:name="_Toc18710"/>
      <w:bookmarkStart w:id="122" w:name="_Toc12267"/>
      <w:r>
        <w:rPr>
          <w:rFonts w:hint="eastAsia"/>
          <w:b w:val="0"/>
          <w:bCs/>
          <w:highlight w:val="none"/>
          <w:lang w:val="en-US" w:eastAsia="zh-CN"/>
        </w:rPr>
        <w:t>第一节</w:t>
      </w:r>
      <w:bookmarkEnd w:id="121"/>
      <w:r>
        <w:rPr>
          <w:rFonts w:hint="eastAsia"/>
          <w:b w:val="0"/>
          <w:bCs/>
          <w:highlight w:val="none"/>
          <w:lang w:val="en-US" w:eastAsia="zh-CN"/>
        </w:rPr>
        <w:t xml:space="preserve"> 坚持和加强党的全面领导</w:t>
      </w:r>
      <w:bookmarkEnd w:id="122"/>
    </w:p>
    <w:p w14:paraId="2CBB1CD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加强党的全面领导和党的建设。把学习贯彻习近平新时代中国特色社会主义思想作为头等大事和首要政治任务，增强“四个意识”、坚定“四个自信”、做到“两个维护”。坚决按照习近平总书记、党中央要求谋划推动宝山区发展，自觉在思想上政治上行动上同以习近平同志为核心的党中央保持高度一致，为振兴发展提供坚强的政治保证。落实民主集中制，规范党内政治生活，完善科学决策，民主决策机制。贯彻新时代党的建设总要求，落实新时代党的组织路线，以正确用人导向引领干事创业导向，大力推进干部年轻化专业化，积极培养选拔优秀年轻干部，打造忠诚干净担当的高素质干部队伍。建立健全干部担当作为激励和保护机制，精准细化各级干部担当作为激励机制。坚持大抓基层的鲜明导向，增强基层党组织的政治功能和组织力，提高党的组织建设制度化、规范化、科学化水平。</w:t>
      </w:r>
    </w:p>
    <w:p w14:paraId="5D742CEB">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p>
    <w:p w14:paraId="46E2261C">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23" w:name="_Toc7389"/>
      <w:r>
        <w:rPr>
          <w:rFonts w:hint="eastAsia"/>
          <w:b w:val="0"/>
          <w:bCs/>
          <w:highlight w:val="none"/>
          <w:lang w:val="en-US" w:eastAsia="zh-CN"/>
        </w:rPr>
        <w:t>第二节 推动全面从严治党向纵深发展</w:t>
      </w:r>
      <w:bookmarkEnd w:id="123"/>
    </w:p>
    <w:p w14:paraId="2E3D5C72">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落实全面全面从严治党主体责任，把党建设得更加坚强有力，健全全面从严治党体系、教育体系、监管体系、制度体系、责任体系、形成各负其责、统一协调的管党治党责任格局。推进政治监督具体化、标准化、常态化、深化政治巡视巡察，加强对“一把手”和领导班子监督，推动监督融入日常。锲而不舍落实中央八项规定精神，推进作风建设常态化、长效化，持续为基层减负赋能。准确运用“四种形态”，促进从严监督管理和鼓励担当作为有机统一。打好反腐败攻坚战、持久战、总体战，深化整治群众身边不正之风和腐败问题，一体推进不敢腐、不能腐、</w:t>
      </w:r>
      <w:bookmarkStart w:id="126" w:name="_GoBack"/>
      <w:bookmarkEnd w:id="126"/>
      <w:r>
        <w:rPr>
          <w:rFonts w:hint="eastAsia" w:ascii="仿宋_GB2312" w:hAnsi="仿宋_GB2312" w:eastAsia="仿宋_GB2312" w:cs="仿宋_GB2312"/>
          <w:spacing w:val="7"/>
          <w:sz w:val="32"/>
          <w:szCs w:val="32"/>
          <w:highlight w:val="none"/>
          <w:lang w:val="en-US" w:eastAsia="zh-CN"/>
        </w:rPr>
        <w:t>不想腐，持续优化政治生态，实现正气充盈、政治清明。</w:t>
      </w:r>
    </w:p>
    <w:p w14:paraId="564A3B2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3" w:firstLineChars="200"/>
        <w:jc w:val="center"/>
        <w:textAlignment w:val="baseline"/>
        <w:outlineLvl w:val="9"/>
        <w:rPr>
          <w:rFonts w:hint="eastAsia" w:ascii="Arial" w:hAnsi="Arial" w:eastAsia="黑体" w:cs="Arial"/>
          <w:b/>
          <w:snapToGrid w:val="0"/>
          <w:color w:val="000000"/>
          <w:kern w:val="0"/>
          <w:sz w:val="32"/>
          <w:szCs w:val="21"/>
          <w:highlight w:val="none"/>
          <w:lang w:val="en-US" w:eastAsia="zh-CN" w:bidi="ar-SA"/>
        </w:rPr>
      </w:pPr>
    </w:p>
    <w:p w14:paraId="7CE3BAB4">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24" w:name="_Toc18917"/>
      <w:r>
        <w:rPr>
          <w:rFonts w:hint="eastAsia"/>
          <w:b w:val="0"/>
          <w:bCs/>
          <w:highlight w:val="none"/>
          <w:lang w:val="en-US" w:eastAsia="zh-CN"/>
        </w:rPr>
        <w:t>第三节 完善规划实施机制</w:t>
      </w:r>
      <w:bookmarkEnd w:id="124"/>
    </w:p>
    <w:p w14:paraId="43995343">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完善规划实施监测和评估督导制度。健全规划动态调整和修订机制。落实规划实施责任，有效监督规划实施，落实牵头单位和工作责任，明确实施进度和推进措施，逐项落实目标任务。强化年度计划与发展规划衔接，将发展规划确定的主要指标分解纳入年度指标体系，明确重大工程、重大项目、重大举措的年度实施要求，全面保障中央、省委、市委、区委决策部署落到实处。更好地发挥发展规划战略导向作用。强化规划实施管理，建立以“十五五”发展规划为统领，以空间规划为基础，定位准确、边界清晰、功能互补、统一衔接的规划体系。各部门制定专项规划、年度计划、安排政府投资和财政支出预算、制定特定领域相关政策，要严格贯彻落实本规划的战略意图和主要任务，维护规划的严肃性和权威性。构建发展规划和各类政策协调协同的实施机制。加强财政预算与规划实施的衔接协调，全方位统筹政府资金和资产资源，全面增强对列入规划内的重大战略任务的财力保障。强化发展规划对产业政策、区域政策等的引导约束作用，探索建立产业政策审查机制，制定产业政策要与发展规划进行充分衔接。强化年度计划与发展规划衔接，以年度计划的实施滚动落实发展规划。明确规划实施责任。区政府统一组织本规划的实施工作，落实牵头单位和工作责任，明确实施进度和推进措施，逐项落实目标任务。本规划提出的发展目标、重点任务和重大项目，应纳入年度计划，合理设置年度目标，做好年度间的综合平衡，并分解到相关部门和七街一镇。</w:t>
      </w:r>
    </w:p>
    <w:p w14:paraId="720DF4EF">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580" w:lineRule="exact"/>
        <w:ind w:left="0" w:right="0" w:firstLine="643" w:firstLineChars="200"/>
        <w:jc w:val="center"/>
        <w:textAlignment w:val="baseline"/>
        <w:outlineLvl w:val="9"/>
        <w:rPr>
          <w:rFonts w:hint="eastAsia" w:ascii="Arial" w:hAnsi="Arial" w:eastAsia="黑体" w:cs="Arial"/>
          <w:b/>
          <w:snapToGrid w:val="0"/>
          <w:color w:val="000000"/>
          <w:kern w:val="0"/>
          <w:sz w:val="32"/>
          <w:szCs w:val="21"/>
          <w:highlight w:val="none"/>
          <w:lang w:val="en-US" w:eastAsia="zh-CN" w:bidi="ar-SA"/>
        </w:rPr>
      </w:pPr>
    </w:p>
    <w:p w14:paraId="63211C45">
      <w:pPr>
        <w:pStyle w:val="3"/>
        <w:keepNext/>
        <w:keepLines/>
        <w:pageBreakBefore w:val="0"/>
        <w:widowControl/>
        <w:kinsoku w:val="0"/>
        <w:wordWrap/>
        <w:overflowPunct/>
        <w:topLinePunct w:val="0"/>
        <w:autoSpaceDE w:val="0"/>
        <w:autoSpaceDN w:val="0"/>
        <w:bidi w:val="0"/>
        <w:adjustRightInd w:val="0"/>
        <w:snapToGrid w:val="0"/>
        <w:spacing w:before="0" w:after="0" w:line="580" w:lineRule="exact"/>
        <w:jc w:val="center"/>
        <w:textAlignment w:val="baseline"/>
        <w:rPr>
          <w:rFonts w:hint="eastAsia"/>
          <w:b w:val="0"/>
          <w:bCs/>
          <w:highlight w:val="none"/>
          <w:lang w:val="en-US" w:eastAsia="zh-CN"/>
        </w:rPr>
      </w:pPr>
      <w:bookmarkStart w:id="125" w:name="_Toc29729"/>
      <w:r>
        <w:rPr>
          <w:rFonts w:hint="eastAsia"/>
          <w:b w:val="0"/>
          <w:bCs/>
          <w:highlight w:val="none"/>
          <w:lang w:val="en-US" w:eastAsia="zh-CN"/>
        </w:rPr>
        <w:t>第四节 强化规划项目支撑</w:t>
      </w:r>
      <w:bookmarkEnd w:id="125"/>
    </w:p>
    <w:p w14:paraId="790F52CA">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eastAsia"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强化重大项目实施载体作用。充分发挥政府投资、产业发展、社会事业、区域发展和改革创新等领域政策合力，改善政府投资和财政支出结构，加强存量整合，优化增量安排，优先安排涉及民生保障、公共服务、公共安全、生态环境等领域的财政投入，有效发挥政府引导作用，鼓励社会投资。强化项目带动，组织实施一批具有全区带动性和目标导向性的重点工程以及基础设施、产业发展、科技创新、社会民生、生态环保等重大项目。健全项目推进协调服务机制，提高项目推进效率。加强要素保障。完善“项目跟着规划走、要素跟着项目走”投资保障机制，强化对重大项目的政策支持和资源要素保障。统筹安排财政资金，合理引导社会资本投向支持重点项目建设。加强重点项目管理。强化重大项目建设全过程管理，严格建设程序。完善重大项目储备机制，形成建设一批、竣工一批、启动一批、储备一批的滚动机制。强化重大项目前期论证，完善重大项目联动协调机制，加快项目落地。健全政府投资管理制度，强化项目监管，完善后评价制度。</w:t>
      </w:r>
    </w:p>
    <w:p w14:paraId="4BA0AE89">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68" w:firstLineChars="200"/>
        <w:jc w:val="both"/>
        <w:textAlignment w:val="baseline"/>
        <w:outlineLvl w:val="9"/>
        <w:rPr>
          <w:rFonts w:hint="default" w:ascii="仿宋_GB2312" w:hAnsi="仿宋_GB2312" w:eastAsia="仿宋_GB2312" w:cs="仿宋_GB2312"/>
          <w:spacing w:val="7"/>
          <w:sz w:val="32"/>
          <w:szCs w:val="32"/>
          <w:highlight w:val="none"/>
          <w:lang w:val="en-US" w:eastAsia="zh-CN"/>
        </w:rPr>
      </w:pPr>
      <w:r>
        <w:rPr>
          <w:rFonts w:hint="eastAsia" w:ascii="仿宋_GB2312" w:hAnsi="仿宋_GB2312" w:eastAsia="仿宋_GB2312" w:cs="仿宋_GB2312"/>
          <w:spacing w:val="7"/>
          <w:sz w:val="32"/>
          <w:szCs w:val="32"/>
          <w:highlight w:val="none"/>
          <w:lang w:val="en-US" w:eastAsia="zh-CN"/>
        </w:rPr>
        <w:t>实现“十五五”规划意义重大，任务艰巨。全区上下要紧密团结在以习近平同志为核心的党中央周围，在区委的坚强领导下，解放思想，抢抓机遇，开拓创新，顽强奋斗，加快推进全面振兴和全方位振兴，全面开启社会主义现代化宝山建设新征程。</w:t>
      </w:r>
    </w:p>
    <w:p w14:paraId="08F57D25">
      <w:pPr>
        <w:pStyle w:val="6"/>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48" w:firstLineChars="200"/>
        <w:jc w:val="both"/>
        <w:textAlignment w:val="baseline"/>
        <w:outlineLvl w:val="9"/>
        <w:rPr>
          <w:rFonts w:hint="eastAsia"/>
          <w:spacing w:val="7"/>
          <w:sz w:val="31"/>
          <w:szCs w:val="31"/>
          <w:highlight w:val="none"/>
          <w:lang w:val="en-US" w:eastAsia="zh-CN"/>
        </w:rPr>
      </w:pPr>
    </w:p>
    <w:p w14:paraId="1EA5B89B">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eastAsia" w:ascii="仿宋_GB2312" w:hAnsi="仿宋_GB2312" w:eastAsia="仿宋_GB2312" w:cs="仿宋_GB2312"/>
          <w:sz w:val="32"/>
          <w:szCs w:val="32"/>
          <w:highlight w:val="none"/>
        </w:rPr>
      </w:pPr>
    </w:p>
    <w:p w14:paraId="44791EA2">
      <w:pPr>
        <w:rPr>
          <w:highlight w:val="none"/>
        </w:rPr>
      </w:pPr>
    </w:p>
    <w:sectPr>
      <w:footerReference r:id="rId5" w:type="default"/>
      <w:pgSz w:w="11906" w:h="16838"/>
      <w:pgMar w:top="1440" w:right="1800" w:bottom="1440" w:left="1800"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11182">
    <w:pPr>
      <w:spacing w:line="169" w:lineRule="auto"/>
      <w:ind w:left="4257"/>
      <w:rPr>
        <w:rFonts w:ascii="宋体" w:hAnsi="宋体" w:eastAsia="宋体" w:cs="宋体"/>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2A647">
    <w:pPr>
      <w:spacing w:line="169" w:lineRule="auto"/>
      <w:ind w:left="4257"/>
      <w:rPr>
        <w:rFonts w:ascii="宋体" w:hAnsi="宋体" w:eastAsia="宋体" w:cs="宋体"/>
        <w:sz w:val="17"/>
        <w:szCs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194B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9EA61">
                          <w:pPr>
                            <w:pStyle w:val="7"/>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8E9EA61">
                    <w:pPr>
                      <w:pStyle w:val="7"/>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55899"/>
    <w:multiLevelType w:val="singleLevel"/>
    <w:tmpl w:val="A9C55899"/>
    <w:lvl w:ilvl="0" w:tentative="0">
      <w:start w:val="1"/>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C4DFF"/>
    <w:rsid w:val="010F1DA1"/>
    <w:rsid w:val="02B349AE"/>
    <w:rsid w:val="0370464D"/>
    <w:rsid w:val="047E1312"/>
    <w:rsid w:val="04936845"/>
    <w:rsid w:val="068C79F0"/>
    <w:rsid w:val="07E01DA1"/>
    <w:rsid w:val="0D1A5D55"/>
    <w:rsid w:val="0DFD5FDB"/>
    <w:rsid w:val="0E705E9E"/>
    <w:rsid w:val="0E8C4A31"/>
    <w:rsid w:val="132A4818"/>
    <w:rsid w:val="13313B86"/>
    <w:rsid w:val="13EC7D20"/>
    <w:rsid w:val="13F72485"/>
    <w:rsid w:val="16702E8A"/>
    <w:rsid w:val="16D74CB7"/>
    <w:rsid w:val="16F07B27"/>
    <w:rsid w:val="1B527002"/>
    <w:rsid w:val="1CEC2B3E"/>
    <w:rsid w:val="1D840FC9"/>
    <w:rsid w:val="1EAA2CB1"/>
    <w:rsid w:val="1F35421B"/>
    <w:rsid w:val="1FE10954"/>
    <w:rsid w:val="203E5DA7"/>
    <w:rsid w:val="208A3AF0"/>
    <w:rsid w:val="20EE157B"/>
    <w:rsid w:val="2144119B"/>
    <w:rsid w:val="216D6944"/>
    <w:rsid w:val="21F91F85"/>
    <w:rsid w:val="25184E18"/>
    <w:rsid w:val="2610789E"/>
    <w:rsid w:val="29BB5D72"/>
    <w:rsid w:val="2A261D85"/>
    <w:rsid w:val="2B7803BF"/>
    <w:rsid w:val="2C7F752B"/>
    <w:rsid w:val="2CDB64F0"/>
    <w:rsid w:val="2D263E4A"/>
    <w:rsid w:val="2E5D564A"/>
    <w:rsid w:val="2F074D14"/>
    <w:rsid w:val="2F961928"/>
    <w:rsid w:val="2FF65D56"/>
    <w:rsid w:val="30532B34"/>
    <w:rsid w:val="30823A8E"/>
    <w:rsid w:val="32EC3440"/>
    <w:rsid w:val="360D53DE"/>
    <w:rsid w:val="363B1965"/>
    <w:rsid w:val="3683687F"/>
    <w:rsid w:val="38507FCD"/>
    <w:rsid w:val="3BCB62E9"/>
    <w:rsid w:val="3C3955C9"/>
    <w:rsid w:val="41341C31"/>
    <w:rsid w:val="41C37A62"/>
    <w:rsid w:val="41F1637D"/>
    <w:rsid w:val="45EC4DFF"/>
    <w:rsid w:val="46F661E4"/>
    <w:rsid w:val="47354F5E"/>
    <w:rsid w:val="49867716"/>
    <w:rsid w:val="49AE2DA6"/>
    <w:rsid w:val="4A037596"/>
    <w:rsid w:val="4B342F26"/>
    <w:rsid w:val="4B756271"/>
    <w:rsid w:val="4CF50D95"/>
    <w:rsid w:val="4D5C3245"/>
    <w:rsid w:val="4DB62929"/>
    <w:rsid w:val="4DCD5EF0"/>
    <w:rsid w:val="4E5C7274"/>
    <w:rsid w:val="4F100C95"/>
    <w:rsid w:val="4F675ED1"/>
    <w:rsid w:val="508825A3"/>
    <w:rsid w:val="51FB0B52"/>
    <w:rsid w:val="546155E5"/>
    <w:rsid w:val="564A0007"/>
    <w:rsid w:val="56B51C18"/>
    <w:rsid w:val="574134AB"/>
    <w:rsid w:val="5C3F445D"/>
    <w:rsid w:val="5D4A2A18"/>
    <w:rsid w:val="5D6121B1"/>
    <w:rsid w:val="5E3B0C54"/>
    <w:rsid w:val="63556314"/>
    <w:rsid w:val="657B010B"/>
    <w:rsid w:val="66666A8A"/>
    <w:rsid w:val="68936D15"/>
    <w:rsid w:val="6AA45DD3"/>
    <w:rsid w:val="6AC344AB"/>
    <w:rsid w:val="6AD541DF"/>
    <w:rsid w:val="6BD85D34"/>
    <w:rsid w:val="6CC60283"/>
    <w:rsid w:val="6D003795"/>
    <w:rsid w:val="6DA00AD4"/>
    <w:rsid w:val="6EE35CB3"/>
    <w:rsid w:val="754F5D22"/>
    <w:rsid w:val="761F0029"/>
    <w:rsid w:val="7A9814B1"/>
    <w:rsid w:val="7C014E34"/>
    <w:rsid w:val="7C7E6484"/>
    <w:rsid w:val="7EDF4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Body Text"/>
    <w:basedOn w:val="1"/>
    <w:qFormat/>
    <w:uiPriority w:val="0"/>
    <w:rPr>
      <w:rFonts w:ascii="FangSong_GB2312" w:hAnsi="FangSong_GB2312" w:eastAsia="FangSong_GB2312" w:cs="FangSong_GB2312"/>
      <w:sz w:val="28"/>
      <w:szCs w:val="28"/>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FangSong_GB2312" w:hAnsi="FangSong_GB2312" w:eastAsia="FangSong_GB2312" w:cs="FangSong_GB2312"/>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6c01a6c6-e960-49e1-9d71-bb0ce25dc4f0</errorID>
      <errorWord>万斤</errorWord>
      <group>L1_Knowledge</group>
      <groupName>知识性问题</groupName>
      <ability>L2_Knowledge</ability>
      <abilityName>其他知识</abilityName>
      <candidateList/>
      <explain>非法定单位</explain>
      <paraID>227C342D</paraID>
      <start>293</start>
      <end>295</end>
      <status>unmodified</status>
      <modifiedWord/>
      <trackRevisions>false</trackRevisions>
    </reviewItem>
    <reviewItem>
      <errorID>af44bffb-4ec4-429e-8645-32721af09f89</errorID>
      <errorWord>基本卫生服务</errorWord>
      <group>L1_Word</group>
      <groupName>字词问题</groupName>
      <ability>L2_Typo</ability>
      <abilityName>字词错误</abilityName>
      <candidateList>
        <item>基本公共卫生服务</item>
      </candidateList>
      <explain/>
      <paraID> 1BF20AE</paraID>
      <start>124</start>
      <end>130</end>
      <status>unmodified</status>
      <modifiedWord/>
      <trackRevisions>false</trackRevisions>
    </reviewItem>
    <reviewItem>
      <errorID>1b5fc5b6-e679-4edc-9972-ab7b2440b959</errorID>
      <errorWord>国立</errorWord>
      <group>L1_Political</group>
      <groupName>政治性问题</groupName>
      <ability>L2_Unpolitical</ability>
      <abilityName>政治敏感错误</abilityName>
      <candidateList/>
      <explain>敏感词</explain>
      <paraID> 1BF20AE</paraID>
      <start>889</start>
      <end>891</end>
      <status>unmodified</status>
      <modifiedWord/>
      <trackRevisions>false</trackRevisions>
    </reviewItem>
    <reviewItem>
      <errorID>2d4544fe-57d4-4778-accc-fd6c55e5c487</errorID>
      <errorWord>个</errorWord>
      <group>L1_Knowledge</group>
      <groupName>知识性问题</groupName>
      <ability>L2_Knowledge</ability>
      <abilityName>其他知识</abilityName>
      <candidateList>
        <item>户</item>
      </candidateList>
      <explain>请检查“个”是否为量词使用错误，建议修改为“户”。</explain>
      <paraID>39FC98B1</paraID>
      <start>444</start>
      <end>445</end>
      <status>unmodified</status>
      <modifiedWord/>
      <trackRevisions>false</trackRevisions>
    </reviewItem>
    <reviewItem>
      <errorID>a0deeb43-f576-4758-8641-a991f94d84f2</errorID>
      <errorWord>历史遗留矿山生态修复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词汇“历史遗留废弃矿山生态修复”在特定场景下为固定表述形式，请确认此处的“历史遗留矿山生态修复”是否存在不当。</explain>
      <paraID>5D7D3C3E</paraID>
      <start>368</start>
      <end>378</end>
      <status>unmodified</status>
      <modifiedWord/>
      <trackRevisions>false</trackRevisions>
    </reviewItem>
    <reviewItem>
      <errorID>d7093ac9-329f-4409-839b-a56073aba9ac</errorID>
      <errorWord>融入和服务新发展格局</errorWord>
      <group>L1_Political</group>
      <groupName>政治性问题</groupName>
      <ability>L2_Keyword</ability>
      <abilityName>固定表述</abilityName>
      <candidateList>
        <item>服务和融入新发展格局</item>
      </candidateList>
      <explain>词汇“服务和融入新发展格局”在特定场景下为固定表述形式，请确认此处的“融入和服务新发展格局”是否存在不当。</explain>
      <paraID>4BA701F9</paraID>
      <start>174</start>
      <end>184</end>
      <status>unmodified</status>
      <modifiedWord/>
      <trackRevisions>false</trackRevisions>
    </reviewItem>
    <reviewItem>
      <errorID>fcca3a57-35f9-46c0-a633-41afe7200047</errorID>
      <errorWord>坚持把党的领导</errorWord>
      <group>L1_Political</group>
      <groupName>政治性问题</groupName>
      <ability>L2_Keyword</ability>
      <abilityName>固定表述</abilityName>
      <candidateList>
        <item>坚持党的领导</item>
      </candidateList>
      <explain>词汇“坚持党的领导”在特定场景下为固定表述形式，请确认此处的“坚持把党的领导”是否存在不当。</explain>
      <paraID>40770707</paraID>
      <start>11</start>
      <end>18</end>
      <status>unmodified</status>
      <modifiedWord/>
      <trackRevisions>false</trackRevisions>
    </reviewItem>
    <reviewItem>
      <errorID>e0a36b2f-a56d-4c8b-8b5f-a5ddacf0ab48</errorID>
      <errorWord>中央环保督察</errorWord>
      <group>L1_Political</group>
      <groupName>政治性问题</groupName>
      <ability>L2_Unpolitical</ability>
      <abilityName>政治敏感错误</abilityName>
      <candidateList>
        <item>中央生态环境保护督察</item>
      </candidateList>
      <explain/>
      <paraID>33FEC847</paraID>
      <start>62</start>
      <end>68</end>
      <status>unmodified</status>
      <modifiedWord/>
      <trackRevisions>false</trackRevisions>
    </reviewItem>
    <reviewItem>
      <errorID>119108eb-3413-49a6-9f1e-6c9e1c3d8bc2</errorID>
      <errorWord>规模以上制造业增加值</errorWord>
      <group>L1_Political</group>
      <groupName>政治性问题</groupName>
      <ability>L2_Keyword</ability>
      <abilityName>固定表述</abilityName>
      <candidateList>
        <item>规模以上工业增加值</item>
      </candidateList>
      <explain>词汇“规模以上工业增加值”在特定场景下为固定表述形式，请确认此处的“规模以上制造业增加值”是否存在不当。</explain>
      <paraID>2C11DBF8</paraID>
      <start>2</start>
      <end>12</end>
      <status>unmodified</status>
      <modifiedWord/>
      <trackRevisions>false</trackRevisions>
    </reviewItem>
    <reviewItem>
      <errorID>fb3b301b-3472-4273-a205-cc27af6fc0ac</errorID>
      <errorWord>农旅融合发展</errorWord>
      <group>L1_Political</group>
      <groupName>政治性问题</groupName>
      <ability>L2_Keyword</ability>
      <abilityName>固定表述</abilityName>
      <candidateList>
        <item>农文旅融合发展</item>
      </candidateList>
      <explain>词汇“农文旅融合发展”在特定场景下为固定表述形式，请确认此处的“农旅融合发展”是否存在不当。</explain>
      <paraID>4E214543</paraID>
      <start>0</start>
      <end>6</end>
      <status>unmodified</status>
      <modifiedWord/>
      <trackRevisions>false</trackRevisions>
    </reviewItem>
    <reviewItem>
      <errorID>baca7ff6-fce4-41ce-87dd-4b42f82b99ca</errorID>
      <errorWord>科技型产业</errorWord>
      <group>L1_Political</group>
      <groupName>政治性问题</groupName>
      <ability>L2_Keyword</ability>
      <abilityName>固定表述</abilityName>
      <candidateList>
        <item>科技型企业</item>
      </candidateList>
      <explain>词汇“科技型企业”在特定场景下为固定表述形式，请确认此处的“科技型产业”是否存在不当。</explain>
      <paraID>3537CF99</paraID>
      <start>327</start>
      <end>332</end>
      <status>unmodified</status>
      <modifiedWord/>
      <trackRevisions>false</trackRevisions>
    </reviewItem>
    <reviewItem>
      <errorID>badb694d-2ea3-4f22-ae68-517fe8e3712e</errorID>
      <errorWord>绿色产能标准体系</errorWord>
      <group>L1_Political</group>
      <groupName>政治性问题</groupName>
      <ability>L2_Keyword</ability>
      <abilityName>固定表述</abilityName>
      <candidateList>
        <item>绿色低碳标准体系</item>
      </candidateList>
      <explain>词汇“绿色低碳标准体系”在特定场景下为固定表述形式，请确认此处的“绿色产能标准体系”是否存在不当。</explain>
      <paraID>22075F7C</paraID>
      <start>56</start>
      <end>64</end>
      <status>unmodified</status>
      <modifiedWord/>
      <trackRevisions>false</trackRevisions>
    </reviewItem>
    <reviewItem>
      <errorID>4866bf4c-0f74-441b-a28d-cf3626f236ee</errorID>
      <errorWord>深化全面改革</errorWord>
      <group>L1_Political</group>
      <groupName>政治性问题</groupName>
      <ability>L2_Unpolitical</ability>
      <abilityName>政治敏感错误</abilityName>
      <candidateList>
        <item>全面深化改革</item>
      </candidateList>
      <explain/>
      <paraID>42DD2FE4</paraID>
      <start>5</start>
      <end>11</end>
      <status>unmodified</status>
      <modifiedWord/>
      <trackRevisions>false</trackRevisions>
    </reviewItem>
    <reviewItem>
      <errorID>ce7033a5-a7ad-4103-ac22-6b8b120700f5</errorID>
      <errorWord>坚持问题导向和目标导向相结合</errorWord>
      <group>L1_Political</group>
      <groupName>政治性问题</groupName>
      <ability>L2_Keyword</ability>
      <abilityName>固定表述</abilityName>
      <candidateList>
        <item>坚持目标导向和问题导向相结合</item>
      </candidateList>
      <explain>词汇“坚持目标导向和问题导向相结合”在特定场景下为固定表述形式，请确认此处的“坚持问题导向和目标导向相结合”是否存在不当。</explain>
      <paraID>555EA137</paraID>
      <start>539</start>
      <end>553</end>
      <status>unmodified</status>
      <modifiedWord/>
      <trackRevisions>false</trackRevisions>
    </reviewItem>
    <reviewItem>
      <errorID>b5b43640-3db8-4124-8496-063e1f80e454</errorID>
      <errorWord>,</errorWord>
      <group>L1_Format</group>
      <groupName>格式问题</groupName>
      <ability>L2_HalfPunc</ability>
      <abilityName>全半角检查</abilityName>
      <candidateList>
        <item>，</item>
      </candidateList>
      <explain>文本全半角错误。</explain>
      <paraID>26F7BA7B</paraID>
      <start>132</start>
      <end>133</end>
      <status>unmodified</status>
      <modifiedWord/>
      <trackRevisions>false</trackRevisions>
    </reviewItem>
    <reviewItem>
      <errorID>4f485bb2-4c64-417e-b710-2390357280fd</errorID>
      <errorWord>质量</errorWord>
      <group>L1_Word</group>
      <groupName>字词问题</groupName>
      <ability>L2_Typo</ability>
      <abilityName>字词错误</abilityName>
      <candidateList>
        <item>治理</item>
      </candidateList>
      <explain/>
      <paraID>38F6B2AF</paraID>
      <start>85</start>
      <end>87</end>
      <status>unmodified</status>
      <modifiedWord/>
      <trackRevisions>false</trackRevisions>
    </reviewItem>
    <reviewItem>
      <errorID>476b826f-2c79-4d16-bc22-fc0aef50a2c1</errorID>
      <errorWord>(</errorWord>
      <group>L1_Format</group>
      <groupName>格式问题</groupName>
      <ability>L2_HalfPunc</ability>
      <abilityName>全半角检查</abilityName>
      <candidateList>
        <item>（</item>
      </candidateList>
      <explain>文本全半角错误。</explain>
      <paraID>6032B241</paraID>
      <start>12</start>
      <end>13</end>
      <status>unmodified</status>
      <modifiedWord/>
      <trackRevisions>false</trackRevisions>
    </reviewItem>
    <reviewItem>
      <errorID>345f80da-81ab-4deb-bdaf-9aa01a2f9bd9</errorID>
      <errorWord>:</errorWord>
      <group>L1_Format</group>
      <groupName>格式问题</groupName>
      <ability>L2_HalfPunc</ability>
      <abilityName>全半角检查</abilityName>
      <candidateList>
        <item>：</item>
      </candidateList>
      <explain>文本全半角错误。</explain>
      <paraID>6032B241</paraID>
      <start>15</start>
      <end>16</end>
      <status>unmodified</status>
      <modifiedWord/>
      <trackRevisions>false</trackRevisions>
    </reviewItem>
    <reviewItem>
      <errorID>a24a0e3e-1d39-45c7-9a1f-ba530d58a211</errorID>
      <errorWord>;</errorWord>
      <group>L1_Format</group>
      <groupName>格式问题</groupName>
      <ability>L2_HalfPunc</ability>
      <abilityName>全半角检查</abilityName>
      <candidateList>
        <item>；</item>
      </candidateList>
      <explain>文本全半角错误。</explain>
      <paraID>6032B241</paraID>
      <start>31</start>
      <end>32</end>
      <status>unmodified</status>
      <modifiedWord/>
      <trackRevisions>false</trackRevisions>
    </reviewItem>
    <reviewItem>
      <errorID>0b922829-5d8e-4a58-b9bd-8cc0f3660daa</errorID>
      <errorWord>提防</errorWord>
      <group>L1_Word</group>
      <groupName>字词问题</groupName>
      <ability>L2_Typo</ability>
      <abilityName>字词错误</abilityName>
      <candidateList>
        <item>堤防</item>
      </candidateList>
      <explain/>
      <paraID>67A20D85</paraID>
      <start>72</start>
      <end>74</end>
      <status>modified</status>
      <modifiedWord>堤防</modifiedWord>
      <trackRevisions>false</trackRevisions>
    </reviewItem>
    <reviewItem>
      <errorID>d6f2960b-8f16-4bf0-b360-801c52675cc9</errorID>
      <errorWord>嵌入式社区养老服务</errorWord>
      <group>L1_Political</group>
      <groupName>政治性问题</groupName>
      <ability>L2_Keyword</ability>
      <abilityName>固定表述</abilityName>
      <candidateList>
        <item>社区嵌入式养老服务</item>
      </candidateList>
      <explain>词汇“社区嵌入式养老服务”在特定场景下为固定表述形式，请确认此处的“嵌入式社区养老服务”是否存在不当。</explain>
      <paraID> E12CB7E</paraID>
      <start>2</start>
      <end>11</end>
      <status>unmodified</status>
      <modifiedWord/>
      <trackRevisions>false</trackRevisions>
    </reviewItem>
    <reviewItem>
      <errorID>ff639982-4c50-43e8-9394-b29aa968a3a3</errorID>
      <errorWord>公办养老院机构</errorWord>
      <group>L1_Political</group>
      <groupName>政治性问题</groupName>
      <ability>L2_Keyword</ability>
      <abilityName>固定表述</abilityName>
      <candidateList>
        <item>公办养老机构</item>
      </candidateList>
      <explain>词汇“公办养老机构”在特定场景下为固定表述形式，请确认此处的“公办养老院机构”是否存在不当。</explain>
      <paraID>70C30555</paraID>
      <start>2</start>
      <end>9</end>
      <status>unmodified</status>
      <modifiedWord/>
      <trackRevisions>false</trackRevisions>
    </reviewItem>
    <reviewItem>
      <errorID>ebd205db-2d72-4e5f-ab98-a0542dabdad1</errorID>
      <errorWord>;</errorWord>
      <group>L1_Format</group>
      <groupName>格式问题</groupName>
      <ability>L2_HalfPunc</ability>
      <abilityName>全半角检查</abilityName>
      <candidateList>
        <item>；</item>
      </candidateList>
      <explain>文本全半角错误。</explain>
      <paraID>209F5664</paraID>
      <start>194</start>
      <end>195</end>
      <status>unmodified</status>
      <modifiedWord/>
      <trackRevisions>false</trackRevisions>
    </reviewItem>
    <reviewItem>
      <errorID>bf644bc8-1691-45d7-b712-7d53287913f1</errorID>
      <errorWord>,</errorWord>
      <group>L1_Format</group>
      <groupName>格式问题</groupName>
      <ability>L2_HalfPunc</ability>
      <abilityName>全半角检查</abilityName>
      <candidateList>
        <item>，</item>
      </candidateList>
      <explain>文本全半角错误。</explain>
      <paraID>4C4416B9</paraID>
      <start>293</start>
      <end>294</end>
      <status>unmodified</status>
      <modifiedWord/>
      <trackRevisions>false</trackRevisions>
    </reviewItem>
    <reviewItem>
      <errorID>f53e3fc1-15b5-46de-84ee-ab496c4ea90a</errorID>
      <errorWord>,</errorWord>
      <group>L1_Format</group>
      <groupName>格式问题</groupName>
      <ability>L2_HalfPunc</ability>
      <abilityName>全半角检查</abilityName>
      <candidateList>
        <item>，</item>
      </candidateList>
      <explain>文本全半角错误。</explain>
      <paraID>4C4416B9</paraID>
      <start>312</start>
      <end>313</end>
      <status>unmodified</status>
      <modifiedWord/>
      <trackRevisions>false</trackRevisions>
    </reviewItem>
    <reviewItem>
      <errorID>3d2d6be1-25ab-459d-b0cd-8e3125e5ba32</errorID>
      <errorWord>全</errorWord>
      <group>L1_Word</group>
      <groupName>字词问题</groupName>
      <ability>L2_Typo</ability>
      <abilityName>字词错误</abilityName>
      <candidateList>
        <item>全和</item>
      </candidateList>
      <explain/>
      <paraID>1BA2E445</paraID>
      <start>465</start>
      <end>466</end>
      <status>unmodified</status>
      <modifiedWord/>
      <trackRevisions>false</trackRevisions>
    </reviewItem>
    <reviewItem>
      <errorID>bdd181cb-6860-4572-bef7-ebab0d1f881a</errorID>
      <errorWord>军民融合协同发展</errorWord>
      <group>L1_Political</group>
      <groupName>政治性问题</groupName>
      <ability>L2_Keyword</ability>
      <abilityName>固定表述</abilityName>
      <candidateList>
        <item>军民融合深度发展</item>
      </candidateList>
      <explain>词汇“军民融合深度发展”在特定场景下为固定表述形式，请确认此处的“军民融合协同发展”是否存在不当。</explain>
      <paraID>1BA2E445</paraID>
      <start>553</start>
      <end>561</end>
      <status>unmodified</status>
      <modifiedWord/>
      <trackRevisions>false</trackRevisions>
    </reviewItem>
    <reviewItem>
      <errorID>a2b7b84c-ac24-4a80-8a1d-38e0fffbb2b1</errorID>
      <errorWord>特色社会主义思想作为</errorWord>
      <group>L1_Word</group>
      <groupName>字词问题</groupName>
      <ability>L2_Typo</ability>
      <abilityName>字词错误</abilityName>
      <candidateList>
        <item>特色社会主义思想为</item>
      </candidateList>
      <explain/>
      <paraID>2CBB1CD3</paraID>
      <start>27</start>
      <end>37</end>
      <status>unmodified</status>
      <modifiedWord/>
      <trackRevisions>false</trackRevisions>
    </reviewItem>
    <reviewItem>
      <errorID>2b00110f-d149-4669-9e96-779316c7d443</errorID>
      <errorWord>从严治党的主体责任</errorWord>
      <group>L1_Political</group>
      <groupName>政治性问题</groupName>
      <ability>L2_Unpolitical</ability>
      <abilityName>政治敏感错误</abilityName>
      <candidateList>
        <item>全面从严治党主体责任</item>
      </candidateList>
      <explain/>
      <paraID>2E3D5C72</paraID>
      <start>4</start>
      <end>14</end>
      <status>modified</status>
      <modifiedWord>全面从严治党主体责任</modifiedWord>
      <trackRevisions>false</trackRevisions>
    </reviewItem>
    <reviewItem>
      <errorID>f60c2684-4e48-48cd-a9ea-b6cbc338d769</errorID>
      <errorWord>反腐败攻坚战、持久战、总体战</errorWord>
      <group>L1_Political</group>
      <groupName>政治性问题</groupName>
      <ability>L2_Keyword</ability>
      <abilityName>固定表述</abilityName>
      <candidateList>
        <item>反腐败斗争攻坚战、持久战、总体战</item>
      </candidateList>
      <explain>词汇“反腐败斗争攻坚战、持久战、总体战”在特定场景下为固定表述形式，请确认此处的“反腐败攻坚战、持久战、总体战”是否存在不当。</explain>
      <paraID>2E3D5C72</paraID>
      <start>203</start>
      <end>217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6aab3e-5f35-4b31-9ca0-572ec94a573e}">
  <ds:schemaRefs/>
</ds:datastoreItem>
</file>

<file path=docProps/app.xml><?xml version="1.0" encoding="utf-8"?>
<Properties xmlns="http://schemas.openxmlformats.org/officeDocument/2006/extended-properties" xmlns:vt="http://schemas.openxmlformats.org/officeDocument/2006/docPropsVTypes">
  <Template>Normal.dotm</Template>
  <Pages>94</Pages>
  <Words>10948</Words>
  <Characters>11327</Characters>
  <Lines>0</Lines>
  <Paragraphs>0</Paragraphs>
  <TotalTime>3</TotalTime>
  <ScaleCrop>false</ScaleCrop>
  <LinksUpToDate>false</LinksUpToDate>
  <CharactersWithSpaces>11729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2026-01-10T02:20:00Z</dcterms:created>
  <dc:creator>刘大业</dc:creator>
  <cp:lastModifiedBy>Administrator</cp:lastModifiedBy>
  <cp:lastPrinted>2026-01-10T03:14:00Z</cp:lastPrinted>
  <dcterms:modified xsi:type="dcterms:W3CDTF">2026-10-14T03:09:38Z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4F34D35CA2FF492FA2AA84CBE6953FCD_13</vt:lpwstr>
  </property>
  <property fmtid="{D5CDD505-2E9C-101B-9397-08002B2CF9AE}" pid="4" name="KSOTemplateDocerSaveRecord">
    <vt:lpwstr>eyJoZGlkIjoiZWIyMGMzY2NmOGY1YjFkMjAzMTUxMDJjZGYwMTk5YzUiLCJ1c2VySWQiOiIyNTgyMzY5NDYifQ==</vt:lpwstr>
  </property>
</Properties>
</file>