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bidi w:val="0"/>
        <w:adjustRightInd/>
        <w:snapToGrid/>
        <w:spacing w:line="576" w:lineRule="exact"/>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关于双鸭山市宝山区第二（双矿集团东保卫矿集中式地下水）饮用水水源保护区</w:t>
      </w:r>
    </w:p>
    <w:p>
      <w:pPr>
        <w:keepNext w:val="0"/>
        <w:keepLines w:val="0"/>
        <w:pageBreakBefore w:val="0"/>
        <w:widowControl/>
        <w:suppressLineNumbers w:val="0"/>
        <w:kinsoku/>
        <w:wordWrap/>
        <w:overflowPunct/>
        <w:topLinePunct w:val="0"/>
        <w:bidi w:val="0"/>
        <w:adjustRightInd/>
        <w:snapToGrid/>
        <w:spacing w:line="576"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auto"/>
          <w:kern w:val="0"/>
          <w:sz w:val="44"/>
          <w:szCs w:val="44"/>
          <w:lang w:val="en-US" w:eastAsia="zh-CN" w:bidi="ar"/>
        </w:rPr>
        <w:t>调整公开征求意见的公告</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center"/>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为切实做好双鸭山市宝山区第二（双矿集团东保卫矿集中式地下水）饮用水水源保护区调整工作，加强饮用水源地保护管理，保证饮用水安全,处理好经济、农业的发展与水源地保护之间的关系，宝山区人民政府组织开展了双鸭山市宝山区第二（双矿集团东保卫矿集中式地下水）饮用水水源保护区调整工作,现将保护区基本情况进行公开，请社会各界积极参与，并通过以下途径和方式反馈意见建议。 </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一、（双矿集团东保卫矿集中式地下水）饮用水水源保护区基本情况 </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双鸭山市宝山区位于东经131°16'至131°42'、北纬46°21'至46°37'之间，东邻友谊县、宝清县，西与四方台区接壤，西南与岭东区隔山而居，总面积750平方公里。</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bookmarkStart w:id="0" w:name="_GoBack"/>
      <w:bookmarkEnd w:id="0"/>
      <w:r>
        <w:rPr>
          <w:rFonts w:hint="eastAsia" w:ascii="仿宋_GB2312" w:hAnsi="仿宋_GB2312" w:eastAsia="仿宋_GB2312" w:cs="仿宋_GB2312"/>
          <w:color w:val="000000"/>
          <w:kern w:val="0"/>
          <w:sz w:val="32"/>
          <w:szCs w:val="32"/>
          <w:lang w:val="en-US" w:eastAsia="zh-CN" w:bidi="ar"/>
        </w:rPr>
        <w:t>东保卫矿饮用水水源地位于东保卫矿区的西北侧，直线距离约1.7km。本次调整水源保护区，在原有水源地1#井、4#井旁分别新建1口水井（编号为5#井、6#井），5#井经纬度为131°29′0.50″，46°30′22.17″，面积为7189平方米；6#井经纬度为131°29′13.15″，46°30′42.00″，面积为6322平方米，拟将原有4口水井关闭，采用新建水源井进行供水。将原有“东保卫矿饮用水水源地”的名称调整为“宝山区第二饮用水水源地”。</w:t>
      </w:r>
    </w:p>
    <w:p>
      <w:pPr>
        <w:keepNext w:val="0"/>
        <w:keepLines w:val="0"/>
        <w:pageBreakBefore w:val="0"/>
        <w:kinsoku/>
        <w:wordWrap/>
        <w:overflowPunct/>
        <w:topLinePunct w:val="0"/>
        <w:bidi w:val="0"/>
        <w:adjustRightInd/>
        <w:snapToGrid/>
        <w:spacing w:line="576" w:lineRule="exact"/>
        <w:ind w:firstLine="640" w:firstLineChars="200"/>
        <w:textAlignment w:val="auto"/>
        <w:outlineLvl w:val="0"/>
        <w:rPr>
          <w:rFonts w:ascii="黑体" w:hAnsi="黑体" w:eastAsia="黑体" w:cs="黑体"/>
          <w:sz w:val="32"/>
          <w:szCs w:val="32"/>
        </w:rPr>
      </w:pPr>
      <w:r>
        <w:rPr>
          <w:rFonts w:hint="eastAsia" w:ascii="黑体" w:hAnsi="黑体" w:eastAsia="黑体" w:cs="黑体"/>
          <w:sz w:val="32"/>
          <w:szCs w:val="32"/>
        </w:rPr>
        <w:t xml:space="preserve">二、保护区调整结果    </w:t>
      </w:r>
    </w:p>
    <w:p>
      <w:pPr>
        <w:pStyle w:val="2"/>
        <w:keepNext w:val="0"/>
        <w:keepLines w:val="0"/>
        <w:pageBreakBefore w:val="0"/>
        <w:kinsoku/>
        <w:wordWrap/>
        <w:overflowPunct/>
        <w:topLinePunct w:val="0"/>
        <w:bidi w:val="0"/>
        <w:adjustRightInd/>
        <w:snapToGrid/>
        <w:spacing w:line="576" w:lineRule="exact"/>
        <w:ind w:firstLine="640" w:firstLineChars="200"/>
        <w:jc w:val="both"/>
        <w:textAlignment w:val="auto"/>
        <w:rPr>
          <w:rFonts w:ascii="仿宋" w:hAnsi="仿宋" w:eastAsia="仿宋" w:cs="Times New Roman"/>
          <w:color w:val="auto"/>
          <w:kern w:val="2"/>
          <w:sz w:val="32"/>
          <w:szCs w:val="32"/>
        </w:rPr>
      </w:pPr>
      <w:r>
        <w:rPr>
          <w:rFonts w:hint="eastAsia" w:ascii="仿宋" w:hAnsi="仿宋" w:eastAsia="仿宋" w:cs="Times New Roman"/>
          <w:sz w:val="32"/>
          <w:szCs w:val="32"/>
        </w:rPr>
        <w:t>东保卫矿集中式地下水饮用水水源</w:t>
      </w:r>
      <w:r>
        <w:rPr>
          <w:rFonts w:hint="eastAsia" w:ascii="仿宋" w:hAnsi="仿宋" w:eastAsia="仿宋" w:cs="Times New Roman"/>
          <w:color w:val="auto"/>
          <w:kern w:val="2"/>
          <w:sz w:val="32"/>
          <w:szCs w:val="32"/>
        </w:rPr>
        <w:t>原有4眼取水井（1#、2#、3#、4#），于2010年获得黑政函〔2010〕107号批复了保护区。为了解决经济社会发展和水源保护之间的矛盾，坚持人水和谐，坚持水源地保护工作的可行性和有效性，保证饮用水水源地安全，降低风险事故的发生。废弃了1#、2#、3#、4#潜水型地下水取水井，宝山区人民政府于2022年7月新建5#、6#承压水型地下水取水井，并已于2023年投入使用。本报告对5#、6#取水井进行</w:t>
      </w:r>
      <w:r>
        <w:rPr>
          <w:rFonts w:ascii="仿宋" w:hAnsi="仿宋" w:eastAsia="仿宋" w:cs="Times New Roman"/>
          <w:color w:val="auto"/>
          <w:kern w:val="2"/>
          <w:sz w:val="32"/>
          <w:szCs w:val="32"/>
        </w:rPr>
        <w:t>保护区</w:t>
      </w:r>
      <w:r>
        <w:rPr>
          <w:rFonts w:hint="eastAsia" w:ascii="仿宋" w:hAnsi="仿宋" w:eastAsia="仿宋" w:cs="Times New Roman"/>
          <w:color w:val="auto"/>
          <w:kern w:val="2"/>
          <w:sz w:val="32"/>
          <w:szCs w:val="32"/>
        </w:rPr>
        <w:t>划分，完成对</w:t>
      </w:r>
      <w:r>
        <w:rPr>
          <w:rFonts w:hint="eastAsia" w:ascii="仿宋" w:hAnsi="仿宋" w:eastAsia="仿宋" w:cs="Times New Roman"/>
          <w:sz w:val="32"/>
          <w:szCs w:val="32"/>
        </w:rPr>
        <w:t>双鸭山市宝山区第二（双矿集团东保卫矿集中式地下水）</w:t>
      </w:r>
      <w:r>
        <w:rPr>
          <w:rFonts w:ascii="仿宋" w:hAnsi="仿宋" w:eastAsia="仿宋" w:cs="Times New Roman"/>
          <w:color w:val="auto"/>
          <w:kern w:val="2"/>
          <w:sz w:val="32"/>
          <w:szCs w:val="32"/>
        </w:rPr>
        <w:t>饮用水水源</w:t>
      </w:r>
      <w:r>
        <w:rPr>
          <w:rFonts w:hint="eastAsia" w:ascii="仿宋" w:hAnsi="仿宋" w:eastAsia="仿宋" w:cs="Times New Roman"/>
          <w:color w:val="auto"/>
          <w:kern w:val="2"/>
          <w:sz w:val="32"/>
          <w:szCs w:val="32"/>
        </w:rPr>
        <w:t>保护区的调整。根据《集中式饮用水水源地命名标准》（DB23/T2680-2020）将</w:t>
      </w:r>
      <w:r>
        <w:rPr>
          <w:rFonts w:hint="eastAsia" w:ascii="仿宋" w:hAnsi="仿宋" w:eastAsia="仿宋" w:cs="Times New Roman"/>
          <w:sz w:val="32"/>
          <w:szCs w:val="32"/>
        </w:rPr>
        <w:t>东保卫矿集中式地下水饮用水水源地更名为双鸭山市宝山区第二饮用水水源地。</w:t>
      </w:r>
    </w:p>
    <w:p>
      <w:pPr>
        <w:keepNext w:val="0"/>
        <w:keepLines w:val="0"/>
        <w:pageBreakBefore w:val="0"/>
        <w:kinsoku/>
        <w:wordWrap/>
        <w:overflowPunct/>
        <w:topLinePunct w:val="0"/>
        <w:bidi w:val="0"/>
        <w:adjustRightInd/>
        <w:snapToGrid/>
        <w:spacing w:line="576" w:lineRule="exact"/>
        <w:ind w:firstLine="640" w:firstLineChars="200"/>
        <w:textAlignment w:val="auto"/>
        <w:rPr>
          <w:rFonts w:ascii="仿宋" w:hAnsi="仿宋" w:eastAsia="仿宋"/>
          <w:sz w:val="32"/>
          <w:szCs w:val="32"/>
        </w:rPr>
      </w:pPr>
      <w:r>
        <w:rPr>
          <w:rFonts w:ascii="仿宋" w:hAnsi="仿宋" w:eastAsia="仿宋"/>
          <w:sz w:val="32"/>
          <w:szCs w:val="32"/>
        </w:rPr>
        <w:t>调整后，</w:t>
      </w:r>
      <w:r>
        <w:rPr>
          <w:rFonts w:hint="eastAsia" w:ascii="仿宋" w:hAnsi="仿宋" w:eastAsia="仿宋"/>
          <w:sz w:val="32"/>
          <w:szCs w:val="32"/>
        </w:rPr>
        <w:t>双鸭山市宝山区第二</w:t>
      </w:r>
      <w:r>
        <w:rPr>
          <w:rFonts w:ascii="仿宋" w:hAnsi="仿宋" w:eastAsia="仿宋"/>
          <w:sz w:val="32"/>
          <w:szCs w:val="32"/>
        </w:rPr>
        <w:t>饮用水水源有</w:t>
      </w:r>
      <w:r>
        <w:rPr>
          <w:rFonts w:hint="eastAsia" w:ascii="仿宋" w:hAnsi="仿宋" w:eastAsia="仿宋"/>
          <w:sz w:val="32"/>
          <w:szCs w:val="32"/>
        </w:rPr>
        <w:t>2</w:t>
      </w:r>
      <w:r>
        <w:rPr>
          <w:rFonts w:ascii="仿宋" w:hAnsi="仿宋" w:eastAsia="仿宋"/>
          <w:sz w:val="32"/>
          <w:szCs w:val="32"/>
        </w:rPr>
        <w:t>眼取水井（</w:t>
      </w:r>
      <w:r>
        <w:rPr>
          <w:rFonts w:hint="eastAsia" w:ascii="仿宋" w:hAnsi="仿宋" w:eastAsia="仿宋"/>
          <w:sz w:val="32"/>
          <w:szCs w:val="32"/>
        </w:rPr>
        <w:t>5</w:t>
      </w:r>
      <w:r>
        <w:rPr>
          <w:rFonts w:ascii="仿宋" w:hAnsi="仿宋" w:eastAsia="仿宋"/>
          <w:sz w:val="32"/>
          <w:szCs w:val="32"/>
        </w:rPr>
        <w:t>#</w:t>
      </w:r>
      <w:r>
        <w:rPr>
          <w:rFonts w:hint="eastAsia" w:ascii="仿宋" w:hAnsi="仿宋" w:eastAsia="仿宋"/>
          <w:sz w:val="32"/>
          <w:szCs w:val="32"/>
        </w:rPr>
        <w:t>、6</w:t>
      </w:r>
      <w:r>
        <w:rPr>
          <w:rFonts w:ascii="仿宋" w:hAnsi="仿宋" w:eastAsia="仿宋"/>
          <w:sz w:val="32"/>
          <w:szCs w:val="32"/>
        </w:rPr>
        <w:t>#取水井），</w:t>
      </w:r>
      <w:r>
        <w:rPr>
          <w:rFonts w:hint="eastAsia" w:ascii="仿宋" w:hAnsi="仿宋" w:eastAsia="仿宋" w:cs="仿宋"/>
          <w:sz w:val="32"/>
          <w:szCs w:val="32"/>
        </w:rPr>
        <w:t>为</w:t>
      </w:r>
      <w:r>
        <w:rPr>
          <w:rFonts w:hint="eastAsia" w:ascii="仿宋" w:hAnsi="仿宋" w:eastAsia="仿宋" w:cs="仿宋"/>
          <w:sz w:val="32"/>
          <w:szCs w:val="32"/>
          <w:highlight w:val="none"/>
        </w:rPr>
        <w:t>小型</w:t>
      </w:r>
      <w:r>
        <w:rPr>
          <w:rFonts w:hint="eastAsia" w:ascii="仿宋" w:hAnsi="仿宋" w:eastAsia="仿宋" w:cs="仿宋"/>
          <w:sz w:val="32"/>
          <w:szCs w:val="32"/>
        </w:rPr>
        <w:t>碎屑岩类</w:t>
      </w:r>
      <w:r>
        <w:rPr>
          <w:rFonts w:ascii="仿宋" w:hAnsi="仿宋" w:eastAsia="仿宋" w:cs="仿宋"/>
          <w:sz w:val="32"/>
          <w:szCs w:val="32"/>
        </w:rPr>
        <w:t>孔隙裂隙</w:t>
      </w:r>
      <w:r>
        <w:rPr>
          <w:rFonts w:hint="eastAsia" w:ascii="仿宋" w:hAnsi="仿宋" w:eastAsia="仿宋" w:cs="仿宋"/>
          <w:sz w:val="32"/>
          <w:szCs w:val="32"/>
        </w:rPr>
        <w:t>承压水型水源，只设一级保护区，</w:t>
      </w:r>
      <w:r>
        <w:rPr>
          <w:rFonts w:ascii="仿宋" w:hAnsi="仿宋" w:eastAsia="仿宋" w:cs="仿宋"/>
          <w:sz w:val="32"/>
          <w:szCs w:val="32"/>
        </w:rPr>
        <w:t>不设二级保护区</w:t>
      </w:r>
      <w:r>
        <w:rPr>
          <w:rFonts w:hint="eastAsia" w:ascii="仿宋" w:hAnsi="仿宋" w:eastAsia="仿宋" w:cs="仿宋"/>
          <w:sz w:val="32"/>
          <w:szCs w:val="32"/>
        </w:rPr>
        <w:t>和准保护区</w:t>
      </w:r>
      <w:r>
        <w:rPr>
          <w:rFonts w:ascii="仿宋" w:hAnsi="仿宋" w:eastAsia="仿宋" w:cs="仿宋"/>
          <w:sz w:val="32"/>
          <w:szCs w:val="32"/>
        </w:rPr>
        <w:t>。</w:t>
      </w:r>
      <w:r>
        <w:rPr>
          <w:rFonts w:hint="eastAsia" w:ascii="仿宋" w:hAnsi="仿宋" w:eastAsia="仿宋"/>
          <w:sz w:val="32"/>
          <w:szCs w:val="32"/>
        </w:rPr>
        <w:t>一级保护区范围为分别以5#井、6#井为圆心，50米为半径划圆，5#井东侧以田间路为边界围成的半圆形区域，面积7189平方米；6#井南侧以大叶沟河为边界围成的半圆形区域，面积6322平方米。一级保护区面积总计13511平方米。</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三、保护区相关要求 </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（一）一级保护区 </w:t>
      </w:r>
    </w:p>
    <w:p>
      <w:pPr>
        <w:keepNext w:val="0"/>
        <w:keepLines w:val="0"/>
        <w:pageBreakBefore w:val="0"/>
        <w:widowControl/>
        <w:suppressLineNumbers w:val="0"/>
        <w:kinsoku/>
        <w:wordWrap/>
        <w:overflowPunct/>
        <w:topLinePunct w:val="0"/>
        <w:bidi w:val="0"/>
        <w:adjustRightInd/>
        <w:snapToGrid/>
        <w:spacing w:line="576"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依据《集中式饮用水水源地规范化建设环境保护技术要求》(HJ773-2015)中对一级保护区内要求如下：（1）一级保护区内不存在与供水设施和保护水源无关的建设项目，保护区划定前已有的建设项目拆除或关闭，并视情进行生态修复； </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（2）一级保护区内无工业、生活排污口。一级保护区划定前已有的工业排污口拆除或关闭，生活排污口关闭或迁出； </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（3）一级保护区内无畜禽养殖、网箱养殖、旅游、游泳、垂钓或者其他可能污染水源的活动。一级保护区划定前已有的畜禽养殖、网箱养殖和旅游设施拆除或关闭； </w:t>
      </w:r>
    </w:p>
    <w:p>
      <w:pPr>
        <w:keepNext w:val="0"/>
        <w:keepLines w:val="0"/>
        <w:pageBreakBefore w:val="0"/>
        <w:widowControl/>
        <w:suppressLineNumbers w:val="0"/>
        <w:kinsoku/>
        <w:wordWrap/>
        <w:overflowPunct/>
        <w:topLinePunct w:val="0"/>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（4）一级保护区内无新增农业种植和经济林。一级保护区划定前已有的农业种植和经济林，严格控制化肥、农药等非点源污染，并逐步退出。 </w:t>
      </w:r>
    </w:p>
    <w:p>
      <w:pPr>
        <w:keepNext w:val="0"/>
        <w:keepLines w:val="0"/>
        <w:pageBreakBefore w:val="0"/>
        <w:widowControl/>
        <w:suppressLineNumbers w:val="0"/>
        <w:kinsoku/>
        <w:wordWrap/>
        <w:overflowPunct/>
        <w:topLinePunct w:val="0"/>
        <w:bidi w:val="0"/>
        <w:adjustRightInd/>
        <w:snapToGrid/>
        <w:spacing w:line="576"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公示期间，任何单位和个人均可以通过书面、邮件等形式向宝山生态环境局提出意见和建议。 </w:t>
      </w:r>
    </w:p>
    <w:p>
      <w:pPr>
        <w:keepNext w:val="0"/>
        <w:keepLines w:val="0"/>
        <w:pageBreakBefore w:val="0"/>
        <w:widowControl/>
        <w:suppressLineNumbers w:val="0"/>
        <w:kinsoku/>
        <w:wordWrap/>
        <w:overflowPunct/>
        <w:topLinePunct w:val="0"/>
        <w:bidi w:val="0"/>
        <w:adjustRightInd/>
        <w:snapToGrid/>
        <w:spacing w:line="576"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公示时间：2024年1月2日-2024年2月3日 </w:t>
      </w:r>
    </w:p>
    <w:p>
      <w:pPr>
        <w:keepNext w:val="0"/>
        <w:keepLines w:val="0"/>
        <w:pageBreakBefore w:val="0"/>
        <w:widowControl/>
        <w:suppressLineNumbers w:val="0"/>
        <w:kinsoku/>
        <w:wordWrap/>
        <w:overflowPunct/>
        <w:topLinePunct w:val="0"/>
        <w:bidi w:val="0"/>
        <w:adjustRightInd/>
        <w:snapToGrid/>
        <w:spacing w:line="576"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联系地址：宝山区一马路宝山生态环境局 </w:t>
      </w:r>
    </w:p>
    <w:p>
      <w:pPr>
        <w:keepNext w:val="0"/>
        <w:keepLines w:val="0"/>
        <w:pageBreakBefore w:val="0"/>
        <w:widowControl/>
        <w:suppressLineNumbers w:val="0"/>
        <w:kinsoku/>
        <w:wordWrap/>
        <w:overflowPunct/>
        <w:topLinePunct w:val="0"/>
        <w:bidi w:val="0"/>
        <w:adjustRightInd/>
        <w:snapToGrid/>
        <w:spacing w:line="576"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联系电话：0469-4291355 </w:t>
      </w:r>
    </w:p>
    <w:p>
      <w:pPr>
        <w:keepNext w:val="0"/>
        <w:keepLines w:val="0"/>
        <w:pageBreakBefore w:val="0"/>
        <w:widowControl/>
        <w:suppressLineNumbers w:val="0"/>
        <w:kinsoku/>
        <w:wordWrap/>
        <w:overflowPunct/>
        <w:topLinePunct w:val="0"/>
        <w:bidi w:val="0"/>
        <w:adjustRightInd/>
        <w:snapToGrid/>
        <w:spacing w:line="576" w:lineRule="exact"/>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邮箱：syssbssthjj@163.com</w:t>
      </w:r>
    </w:p>
    <w:p>
      <w:pPr>
        <w:pStyle w:val="2"/>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pStyle w:val="2"/>
        <w:jc w:val="center"/>
        <w:rPr>
          <w:rFonts w:hint="eastAsia" w:ascii="仿宋_GB2312" w:hAnsi="仿宋_GB2312" w:eastAsia="仿宋_GB2312" w:cs="仿宋_GB2312"/>
          <w:sz w:val="32"/>
          <w:szCs w:val="32"/>
          <w:lang w:val="en-US" w:eastAsia="zh-CN"/>
        </w:rPr>
      </w:pPr>
    </w:p>
    <w:p>
      <w:pPr>
        <w:pStyle w:val="2"/>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双鸭山市宝山区人民政府</w:t>
      </w:r>
    </w:p>
    <w:p>
      <w:pPr>
        <w:pStyle w:val="2"/>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2024年1月2日</w:t>
      </w:r>
    </w:p>
    <w:p>
      <w:pPr>
        <w:keepNext w:val="0"/>
        <w:keepLines w:val="0"/>
        <w:pageBreakBefore w:val="0"/>
        <w:kinsoku/>
        <w:wordWrap/>
        <w:overflowPunct/>
        <w:topLinePunct w:val="0"/>
        <w:bidi w:val="0"/>
        <w:adjustRightInd/>
        <w:snapToGrid/>
        <w:spacing w:line="576"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JlZjlkMzYyODE5NTgyMDQxODUxZGM0YWNjNzI5ZGYifQ=="/>
  </w:docVars>
  <w:rsids>
    <w:rsidRoot w:val="5DAF0482"/>
    <w:rsid w:val="09581E0B"/>
    <w:rsid w:val="0AE41BA8"/>
    <w:rsid w:val="0BD065D0"/>
    <w:rsid w:val="1534372C"/>
    <w:rsid w:val="15714980"/>
    <w:rsid w:val="1E7D7EF2"/>
    <w:rsid w:val="22230DB0"/>
    <w:rsid w:val="34AD26BA"/>
    <w:rsid w:val="3B862C88"/>
    <w:rsid w:val="421B33FA"/>
    <w:rsid w:val="4BBC17AA"/>
    <w:rsid w:val="548647DF"/>
    <w:rsid w:val="5DAF0482"/>
    <w:rsid w:val="6AEB755E"/>
    <w:rsid w:val="6C8970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2024-02-28T05:41:00Z</dcterms:created>
  <dc:creator>Pluto</dc:creator>
  <cp:lastModifiedBy>Pluto</cp:lastModifiedBy>
  <dcterms:modified xsi:type="dcterms:W3CDTF">2024-02-28T06:38:28Z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AE29A4442656450D89DADC06A086A922_11</vt:lpwstr>
  </property>
</Properties>
</file>