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83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宝山区新安街道办事处</w:t>
      </w:r>
    </w:p>
    <w:p w14:paraId="442D4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 w14:paraId="3D442075"/>
    <w:p w14:paraId="6670E3FF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56817B">
      <w:pPr>
        <w:ind w:firstLine="65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按照《中华人民共和国政府信息公开条例》（以下简称《条例》）《中华人民共和国政府信息公开工作年度报告格式》等文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件精神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结合新安街道办事处工作实际，特编制此报告，本报告由政府信息公开工作总体情况概述、主动公开政府信息情况、收到和处理政府信息公开申请情况、政府信息公开行政复议、行政诉讼情况、存在的主要问题及改进措施组成。本报告中所列数据的统计期限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年1月1日—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年12月31日止。如对本年度报告有任何疑问，请联系新安街道办事处（地址：宝山区新安街道二马路中段，电话：0469-4393444，电子邮箱：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"mailto:444180774yang@163.com%EF%BC%89%E3%80%82"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444180774yang@163.com）。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 w14:paraId="7437ACC1"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一、总体情况</w:t>
      </w:r>
    </w:p>
    <w:p w14:paraId="6848D57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街道办事处在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区政府的坚强领导下，严格按照《条例》精神，结合街道实际情况，不断完善公开制度，加大公开力度，持续在深化政府信息公开内容、完善政府信息公开配套工作等方面推深落实。</w:t>
      </w:r>
    </w:p>
    <w:p w14:paraId="198C33BB"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（一）主动公开情况</w:t>
      </w:r>
    </w:p>
    <w:p w14:paraId="571B7B45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2024年1月1日至2024年12月31日，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主动公开信息664条。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新闻动态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、政务公示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通知公告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转发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380条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围绕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安全生产、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人社服务圈、积分超市、食品安全、科普宣传、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环境卫生综合治理、政策宣传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党员活动、节日慰问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街道重点中心工作发布相关公开信息，切实做到规定公开内容全面覆盖。进一步提高政府信息公开的全面性、真实性。通过发布政府公开信息，及时对公开内容进行更新和充实，做到全面真实、及时准确、重点突出，并运用街道、各社区公示公开栏、微信居民群及朋友圈等方式进行公开。</w:t>
      </w:r>
    </w:p>
    <w:p w14:paraId="0D35FAA9"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（二）依申请公开情况</w:t>
      </w:r>
    </w:p>
    <w:p w14:paraId="3290025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2024年新安街道未收到公开申请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，未出现因政务信息公开工作被申请行政复议、提起行政诉讼情况。</w:t>
      </w:r>
    </w:p>
    <w:p w14:paraId="1C0384EC"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（三）政府信息管理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情况</w:t>
      </w:r>
    </w:p>
    <w:p w14:paraId="32687FB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建立健全工作机制，制度规范。认真贯彻落实上级文件精神。建立政府信息主动公开工作机制和制度，明确主动公开工作各个环节的职责、程序、公开方式和时限要求。二是严格落实保密审查要求。按照相关规定，明确政府信息公开的公文属性界定、保密审查流程要求，做到依法保密、依法公开。三是严格信息发布审核流程。严格执行审签制度程序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领导对拟上传到门户网站的政务信息进行审核后上传，确保政务信息公开的准确性、规范性和时效性。</w:t>
      </w:r>
    </w:p>
    <w:p w14:paraId="0A20C1AA">
      <w:pPr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（四）监督保障情况</w:t>
      </w:r>
    </w:p>
    <w:p w14:paraId="6445B4DE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新安街道办事处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广大群众及街道干部积极参与政府信息公开发布的监督。广泛听取基层和群众对信息公开工作的意见和要求，充分发挥社会监督作用，确保公开内容的真实性、全面性和有效性。同时制定政务信息公开工作相关制度。定期对信息公开完成进度、质量等进行监督。</w:t>
      </w:r>
    </w:p>
    <w:p w14:paraId="3C7F3A18"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二、主动公开政府信息情况</w:t>
      </w:r>
    </w:p>
    <w:tbl>
      <w:tblPr>
        <w:tblStyle w:val="3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30"/>
        <w:gridCol w:w="2430"/>
        <w:gridCol w:w="2445"/>
      </w:tblGrid>
      <w:tr w14:paraId="374A6CF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A3A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3432644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320B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936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3C6A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F309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现行有效件数</w:t>
            </w:r>
          </w:p>
        </w:tc>
      </w:tr>
      <w:tr w14:paraId="45D04C1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208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682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C24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3F3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F692F4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019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C1D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91F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507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5B27C5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397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0732B82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08C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66BE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12C1D38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58B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547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5012F1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1AEA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1F0F5C5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0368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35E6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本年处理决定数量</w:t>
            </w:r>
          </w:p>
        </w:tc>
      </w:tr>
      <w:tr w14:paraId="63D95BA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74C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873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52320AF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7980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FEE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37A30F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D2D5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3137DF31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C805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68D5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0C96D43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89F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0BA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204D429D">
      <w:pPr>
        <w:rPr>
          <w:rFonts w:hint="eastAsia" w:ascii="仿宋_GB2312" w:hAnsi="仿宋_GB2312" w:eastAsia="仿宋_GB2312" w:cs="仿宋_GB2312"/>
          <w:sz w:val="19"/>
          <w:szCs w:val="19"/>
        </w:rPr>
      </w:pPr>
      <w:r>
        <w:rPr>
          <w:rFonts w:hint="eastAsia" w:ascii="仿宋_GB2312" w:hAnsi="仿宋_GB2312" w:eastAsia="仿宋_GB2312" w:cs="仿宋_GB2312"/>
          <w:sz w:val="19"/>
          <w:szCs w:val="19"/>
          <w:lang w:val="en-US" w:eastAsia="zh-CN"/>
        </w:rPr>
        <w:t> </w:t>
      </w:r>
    </w:p>
    <w:p w14:paraId="526585BF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p w14:paraId="5DDE0CFE">
      <w:pPr>
        <w:rPr>
          <w:rFonts w:hint="eastAsia" w:ascii="仿宋_GB2312" w:hAnsi="仿宋_GB2312" w:eastAsia="仿宋_GB2312" w:cs="仿宋_GB2312"/>
          <w:sz w:val="19"/>
          <w:szCs w:val="19"/>
        </w:rPr>
      </w:pPr>
      <w:r>
        <w:rPr>
          <w:rFonts w:hint="eastAsia" w:ascii="仿宋_GB2312" w:hAnsi="仿宋_GB2312" w:eastAsia="仿宋_GB2312" w:cs="仿宋_GB2312"/>
          <w:sz w:val="19"/>
          <w:szCs w:val="19"/>
          <w:lang w:val="en-US" w:eastAsia="zh-CN"/>
        </w:rPr>
        <w:t> </w:t>
      </w:r>
    </w:p>
    <w:tbl>
      <w:tblPr>
        <w:tblStyle w:val="3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941"/>
        <w:gridCol w:w="3205"/>
        <w:gridCol w:w="692"/>
        <w:gridCol w:w="692"/>
        <w:gridCol w:w="692"/>
        <w:gridCol w:w="692"/>
        <w:gridCol w:w="692"/>
        <w:gridCol w:w="692"/>
        <w:gridCol w:w="692"/>
      </w:tblGrid>
      <w:tr w14:paraId="0B2C8204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6FE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8541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申请人情况</w:t>
            </w:r>
          </w:p>
        </w:tc>
      </w:tr>
      <w:tr w14:paraId="1C86EAB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5F04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9BA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DDF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834D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7BBA5E9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0581E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DFB2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D3B3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商业</w:t>
            </w:r>
          </w:p>
          <w:p w14:paraId="12CAE0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0CE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科研</w:t>
            </w:r>
          </w:p>
          <w:p w14:paraId="3DAF67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86D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FDB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A6CA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99F95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</w:tr>
      <w:tr w14:paraId="4DEBAF0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E4E7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04C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5E3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667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F99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62D5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0E2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976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C2E404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FE7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F56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C10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2C3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795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6D7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F20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A09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E9C8E4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54A2B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6A59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124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4BA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1CE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71C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484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ED5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8E6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2F145FD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346FF7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6F6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A9D3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248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139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A53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3E9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45F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CE5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63B8A0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CC737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5A1B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5C2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F88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A33B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0EE8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7D8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DE8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1DF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9591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B9F53C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9C04A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9973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D64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FBB9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710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AA21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C70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9D95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894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B7AA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5C57FF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21CDD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7C1ED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1987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7C6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389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B2A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6BA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83C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3275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B2C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78E500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4C56F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8A6D6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B06EF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96EDF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BE10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B58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40C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DA6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454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3B1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1D03F248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2DDB0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82868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33E0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EB7A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959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966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430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63E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218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36ED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8925B2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04C92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5EAA5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C6EC3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1AF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AFDE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109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9DF7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02F98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ED38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B23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242A7FE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92BF1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86FC51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D168A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D2E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A081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641C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304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7322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9B9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7F80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E8F90D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7B195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946F4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D95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6E3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601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2F2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7221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7B0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275B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B28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9723FB2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0A207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75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1A7A2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BDAF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CAE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5320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8314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0AE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2F2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687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22D349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EC4A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C869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F05CE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4D6F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0C0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CCC4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3FF6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450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1F52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2BB5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4BD25C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FE3B0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6497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A90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7344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8FF7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AA1A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5D8D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47C8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7F5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29D7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2EB5A49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11105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8BF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BB26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F8BD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794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C0C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D163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E0B7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A0D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504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918F1B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80B24D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A8F44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FE5A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96A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62F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1F4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D7E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9ED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4F64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7F88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FB3B557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4D1E2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9AAC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4D1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E62C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47E8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7CC4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4525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854B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3D60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4C0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719743BB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7EC9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88DF3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51C4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78B7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E69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C1AD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5722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936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3A567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A2A8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037607F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B056B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2414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784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D65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377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3577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F3E8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C6B8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1408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B45C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7BE9760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AE48F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527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5A5E9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C1F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5CF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EC6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101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582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858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80AB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CDF290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58163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D762A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5FB0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187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97B7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56E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878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95A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69D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F548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6C14311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7B46A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EA849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5259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3F7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118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C4A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E6D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87D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0DE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A6F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442558C5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158F44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15E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93A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72B6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9E3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9AEB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9AA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B49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75717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318C9A3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84C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3E4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681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981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025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567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82E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6A8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B3B0F62">
      <w:pPr>
        <w:rPr>
          <w:rFonts w:hint="eastAsia" w:ascii="仿宋_GB2312" w:hAnsi="仿宋_GB2312" w:eastAsia="仿宋_GB2312" w:cs="仿宋_GB2312"/>
          <w:sz w:val="19"/>
          <w:szCs w:val="19"/>
        </w:rPr>
      </w:pPr>
    </w:p>
    <w:p w14:paraId="326D66A1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p w14:paraId="3BE2AABB">
      <w:pPr>
        <w:rPr>
          <w:rFonts w:hint="eastAsia" w:ascii="仿宋_GB2312" w:hAnsi="仿宋_GB2312" w:eastAsia="仿宋_GB2312" w:cs="仿宋_GB2312"/>
          <w:sz w:val="19"/>
          <w:szCs w:val="19"/>
        </w:rPr>
      </w:pPr>
      <w:r>
        <w:rPr>
          <w:rFonts w:hint="eastAsia" w:ascii="仿宋_GB2312" w:hAnsi="仿宋_GB2312" w:eastAsia="仿宋_GB2312" w:cs="仿宋_GB2312"/>
          <w:sz w:val="19"/>
          <w:szCs w:val="19"/>
          <w:lang w:val="en-US" w:eastAsia="zh-CN"/>
        </w:rPr>
        <w:t> </w:t>
      </w:r>
    </w:p>
    <w:tbl>
      <w:tblPr>
        <w:tblStyle w:val="3"/>
        <w:tblW w:w="0" w:type="auto"/>
        <w:jc w:val="center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36C5003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BE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CBEC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行政诉讼</w:t>
            </w:r>
          </w:p>
        </w:tc>
      </w:tr>
      <w:tr w14:paraId="3F74367A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E1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D7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  <w:p w14:paraId="0596E7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6B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  <w:p w14:paraId="40CBDB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1BA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</w:p>
          <w:p w14:paraId="263C6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25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2B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D1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复议后起诉</w:t>
            </w:r>
          </w:p>
        </w:tc>
      </w:tr>
      <w:tr w14:paraId="12E2A28C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07DA5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72DA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6BC6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B0B2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8AC3D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8D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  <w:p w14:paraId="6F6AAE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F76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  <w:p w14:paraId="23931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738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  <w:p w14:paraId="73A2EB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669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</w:p>
          <w:p w14:paraId="231F81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F8A3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BE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  <w:p w14:paraId="1B1C2F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FB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  <w:p w14:paraId="01A62C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D14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其他</w:t>
            </w:r>
          </w:p>
          <w:p w14:paraId="0FBFE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97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尚未</w:t>
            </w:r>
          </w:p>
          <w:p w14:paraId="0FDB9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F4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总计</w:t>
            </w:r>
          </w:p>
        </w:tc>
      </w:tr>
      <w:tr w14:paraId="036589C6"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06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08D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02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4F2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9A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ED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AD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252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9D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CA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222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E1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AD8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1A6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9C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44E44190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 w14:paraId="29F1AA82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（一）存在的主要问题</w:t>
      </w:r>
    </w:p>
    <w:p w14:paraId="015796A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在2024年的政府信息公开工作中，街道虽然圆满完成了各项任务指标，但与政府信息公开的有关要求相比，还存在一些不足情况，主要表现在：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对疑难复杂问题的依申请公开处理能力尚显不足，一旦出现非体制内的情况，明显感觉掌握不够，掌控不及时。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信息公开具体工作人员的业务素质还需要进一步提升，如法律法规专业知识掌握不够，综合处理、协调问题的能力还比较薄弱。</w:t>
      </w: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政府信息公开的范围不够广泛，信息公开类型及覆盖面不够全。</w:t>
      </w:r>
    </w:p>
    <w:p w14:paraId="21D21DE5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（二）具体的解决办法和改进措施</w:t>
      </w:r>
    </w:p>
    <w:p w14:paraId="5E8693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对以上不足我街道将做好改进。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进一步健全工作机制，贯彻上级有关精神，强化制度落实。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进一步加强队伍建设，继续将提升队伍的素质作为工作的重点，加强教育学习，特别是法律法规的宣传教育。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进一步加强破解难题的力度，将工作“下沉”做到位，切实掌握复杂情况，尽力做好安抚工作。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鼓励良性申请政府信息公开，切实推进政府信息公开工作。</w:t>
      </w:r>
    </w:p>
    <w:p w14:paraId="7DD2D915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 w14:paraId="49C1F2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无其他需要报告的事项。</w:t>
      </w:r>
    </w:p>
    <w:bookmarkEnd w:id="0"/>
    <w:p w14:paraId="554D7075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33FE8E4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D55EF1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NzJiNzJjY2I5MGRjZGU1ZTZiZWI4NTYzM2U1OTMifQ=="/>
  </w:docVars>
  <w:rsids>
    <w:rsidRoot w:val="090D04DA"/>
    <w:rsid w:val="014356DC"/>
    <w:rsid w:val="090D04DA"/>
    <w:rsid w:val="121C527B"/>
    <w:rsid w:val="1D7071E3"/>
    <w:rsid w:val="1ECF684B"/>
    <w:rsid w:val="1F20572E"/>
    <w:rsid w:val="2E0E0A12"/>
    <w:rsid w:val="2F5717F6"/>
    <w:rsid w:val="40F807E9"/>
    <w:rsid w:val="428B0580"/>
    <w:rsid w:val="44A26055"/>
    <w:rsid w:val="4CBB7CD4"/>
    <w:rsid w:val="50A17ADE"/>
    <w:rsid w:val="578A79F0"/>
    <w:rsid w:val="58DD7201"/>
    <w:rsid w:val="5C50639A"/>
    <w:rsid w:val="5C6C4B26"/>
    <w:rsid w:val="5EC97A43"/>
    <w:rsid w:val="61C359A4"/>
    <w:rsid w:val="64410921"/>
    <w:rsid w:val="680F65B1"/>
    <w:rsid w:val="687B4437"/>
    <w:rsid w:val="7BB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2333</Words>
  <Characters>2421</Characters>
  <Lines>0</Lines>
  <Paragraphs>0</Paragraphs>
  <TotalTime>26</TotalTime>
  <ScaleCrop>false</ScaleCrop>
  <LinksUpToDate>false</LinksUpToDate>
  <CharactersWithSpaces>2445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2023-01-17T01:15:00Z</dcterms:created>
  <dc:creator>乐观。</dc:creator>
  <cp:lastModifiedBy>企业用户_379011633</cp:lastModifiedBy>
  <dcterms:modified xsi:type="dcterms:W3CDTF">2025-01-08T06:49:10Z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B3FE536341254F9C9466E256BE5A0326_13</vt:lpwstr>
  </property>
  <property fmtid="{D5CDD505-2E9C-101B-9397-08002B2CF9AE}" pid="4" name="KSOTemplateDocerSaveRecord">
    <vt:lpwstr>eyJoZGlkIjoiODhlZjExODdhZmFjZmE3MGY4YzRiYzM0ZmUxNDk4OTIiLCJ1c2VySWQiOiIyMzg5MzIxMDUifQ==</vt:lpwstr>
  </property>
</Properties>
</file>