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政 府 工 作 报 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——2021年1月12日在宝山区第十届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人民代表大会第七次会议上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宝山区人民政府区长 张 慧</w:t>
      </w:r>
    </w:p>
    <w:p>
      <w:pPr>
        <w:widowControl/>
        <w:spacing w:line="58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color w:val="000000" w:themeColor="text1"/>
          <w:kern w:val="0"/>
          <w:sz w:val="32"/>
          <w:szCs w:val="32"/>
        </w:rPr>
        <w:t>各位代表：</w:t>
      </w:r>
    </w:p>
    <w:p>
      <w:pPr>
        <w:widowControl/>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现在，我代表区人民政府向大会报告工作，请予审议。</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一、“十三五”发展主要成就和2020年工作回顾</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“十三五”时期，是我区战胜特殊困难和严峻挑战，</w:t>
      </w:r>
      <w:r>
        <w:rPr>
          <w:rFonts w:hint="eastAsia" w:ascii="仿宋_GB2312" w:hAnsi="仿宋_GB2312" w:eastAsia="仿宋_GB2312" w:cs="仿宋_GB2312"/>
          <w:color w:val="000000" w:themeColor="text1"/>
          <w:sz w:val="32"/>
          <w:szCs w:val="32"/>
        </w:rPr>
        <w:t>主动适应和引领经济发展新常态，奋力推进“五位一体”总体布局的五年。五年来，在区委的坚强领导下，在区人大、区政协的监督支持下，我们紧紧依靠干部群众，全面履行政府职责，扎实做好“六稳”工作，认真落实“六保”任务，攻坚克难，砥砺奋进，完成了“十三五”规划确定的主要目标任务，基本实现了全面建成小康社会的目标。</w:t>
      </w:r>
    </w:p>
    <w:p>
      <w:pPr>
        <w:widowControl/>
        <w:spacing w:line="58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“十三五”期间，累计地区生产总值完成</w:t>
      </w:r>
      <w:r>
        <w:rPr>
          <w:rFonts w:hint="eastAsia" w:ascii="仿宋_GB2312" w:hAnsi="仿宋_GB2312" w:eastAsia="仿宋_GB2312" w:cs="仿宋_GB2312"/>
          <w:color w:val="000000" w:themeColor="text1"/>
          <w:kern w:val="0"/>
          <w:sz w:val="32"/>
          <w:szCs w:val="32"/>
        </w:rPr>
        <w:t>44.7</w:t>
      </w:r>
      <w:r>
        <w:rPr>
          <w:rFonts w:hint="eastAsia" w:ascii="仿宋_GB2312" w:hAnsi="仿宋_GB2312" w:eastAsia="仿宋_GB2312" w:cs="仿宋_GB2312"/>
          <w:color w:val="000000" w:themeColor="text1"/>
          <w:sz w:val="32"/>
          <w:szCs w:val="32"/>
        </w:rPr>
        <w:t>亿元，财政总收入完成10.6亿元，一般公共预算收入完成32781万元，固定资产</w:t>
      </w:r>
      <w:r>
        <w:rPr>
          <w:rFonts w:hint="eastAsia" w:ascii="仿宋_GB2312" w:hAnsi="仿宋_GB2312" w:eastAsia="仿宋_GB2312" w:cs="仿宋_GB2312"/>
          <w:color w:val="000000" w:themeColor="text1"/>
          <w:sz w:val="32"/>
          <w:szCs w:val="32"/>
          <w:shd w:val="clear" w:color="auto" w:fill="FFFFFF"/>
        </w:rPr>
        <w:t>投资完成</w:t>
      </w:r>
      <w:r>
        <w:rPr>
          <w:rFonts w:hint="eastAsia" w:ascii="仿宋_GB2312" w:hAnsi="仿宋_GB2312" w:eastAsia="仿宋_GB2312" w:cs="仿宋_GB2312"/>
          <w:color w:val="000000" w:themeColor="text1"/>
          <w:kern w:val="0"/>
          <w:sz w:val="32"/>
          <w:szCs w:val="32"/>
        </w:rPr>
        <w:t>34.8</w:t>
      </w:r>
      <w:r>
        <w:rPr>
          <w:rFonts w:hint="eastAsia" w:ascii="仿宋_GB2312" w:hAnsi="仿宋_GB2312" w:eastAsia="仿宋_GB2312" w:cs="仿宋_GB2312"/>
          <w:color w:val="000000" w:themeColor="text1"/>
          <w:sz w:val="32"/>
          <w:szCs w:val="32"/>
          <w:shd w:val="clear" w:color="auto" w:fill="FFFFFF"/>
        </w:rPr>
        <w:t>亿元，社会消费品零售总额完成41.5亿元。截止2020年末，城镇居民和农村常住居民人均可支配收入分别达到22137.9元和22108元。三次产业结构、煤与非煤的比重更加优化均衡。</w:t>
      </w:r>
    </w:p>
    <w:p>
      <w:pPr>
        <w:tabs>
          <w:tab w:val="left" w:pos="5670"/>
        </w:tabs>
        <w:spacing w:line="580" w:lineRule="exact"/>
        <w:ind w:firstLine="643" w:firstLineChars="200"/>
        <w:rPr>
          <w:rFonts w:ascii="仿宋_GB2312" w:hAnsi="仿宋_GB2312" w:eastAsia="仿宋_GB2312" w:cs="仿宋_GB2312"/>
          <w:color w:val="000000" w:themeColor="text1"/>
          <w:sz w:val="32"/>
          <w:szCs w:val="32"/>
        </w:rPr>
        <w:sectPr>
          <w:pgSz w:w="11906" w:h="16838"/>
          <w:pgMar w:top="1701" w:right="1474" w:bottom="1361" w:left="1474" w:header="851" w:footer="567" w:gutter="0"/>
          <w:cols w:space="0" w:num="1"/>
          <w:docGrid w:type="lines" w:linePitch="312" w:charSpace="0"/>
        </w:sectPr>
      </w:pPr>
      <w:r>
        <w:rPr>
          <w:rFonts w:hint="eastAsia" w:ascii="楷体_GB2312" w:hAnsi="楷体_GB2312" w:eastAsia="楷体_GB2312" w:cs="楷体_GB2312"/>
          <w:b/>
          <w:color w:val="000000" w:themeColor="text1"/>
          <w:sz w:val="32"/>
          <w:szCs w:val="32"/>
        </w:rPr>
        <w:t>五年来，我们凝心聚力扩投资、上项目，区域经济质效齐升。</w:t>
      </w:r>
      <w:r>
        <w:rPr>
          <w:rFonts w:hint="eastAsia" w:ascii="仿宋_GB2312" w:hAnsi="仿宋_GB2312" w:eastAsia="仿宋_GB2312" w:cs="仿宋_GB2312"/>
          <w:b/>
          <w:bCs/>
          <w:color w:val="000000" w:themeColor="text1"/>
          <w:kern w:val="0"/>
          <w:sz w:val="32"/>
          <w:szCs w:val="32"/>
        </w:rPr>
        <w:t>实施招商强区和项目兴区战略</w:t>
      </w:r>
      <w:r>
        <w:rPr>
          <w:rFonts w:hint="eastAsia" w:ascii="仿宋_GB2312" w:hAnsi="仿宋_GB2312" w:eastAsia="仿宋_GB2312" w:cs="仿宋_GB2312"/>
          <w:color w:val="000000" w:themeColor="text1"/>
          <w:kern w:val="0"/>
          <w:sz w:val="32"/>
          <w:szCs w:val="32"/>
        </w:rPr>
        <w:t>。累计签约招商项目</w:t>
      </w:r>
      <w:r>
        <w:rPr>
          <w:rFonts w:hint="eastAsia" w:ascii="仿宋_GB2312" w:hAnsi="仿宋_GB2312" w:eastAsia="仿宋_GB2312" w:cs="仿宋_GB2312"/>
          <w:color w:val="000000" w:themeColor="text1"/>
          <w:sz w:val="32"/>
          <w:szCs w:val="32"/>
        </w:rPr>
        <w:t>37</w:t>
      </w:r>
      <w:r>
        <w:rPr>
          <w:rFonts w:hint="eastAsia" w:ascii="仿宋_GB2312" w:hAnsi="仿宋_GB2312" w:eastAsia="仿宋_GB2312" w:cs="仿宋_GB2312"/>
          <w:color w:val="000000" w:themeColor="text1"/>
          <w:kern w:val="0"/>
          <w:sz w:val="32"/>
          <w:szCs w:val="32"/>
        </w:rPr>
        <w:t>个，招商引资签约额完成</w:t>
      </w:r>
      <w:r>
        <w:rPr>
          <w:rFonts w:hint="eastAsia" w:ascii="仿宋_GB2312" w:hAnsi="仿宋_GB2312" w:eastAsia="仿宋_GB2312" w:cs="仿宋_GB2312"/>
          <w:color w:val="000000" w:themeColor="text1"/>
          <w:sz w:val="32"/>
          <w:szCs w:val="32"/>
        </w:rPr>
        <w:t>94</w:t>
      </w:r>
      <w:r>
        <w:rPr>
          <w:rFonts w:hint="eastAsia" w:ascii="仿宋_GB2312" w:hAnsi="仿宋_GB2312" w:eastAsia="仿宋_GB2312" w:cs="仿宋_GB2312"/>
          <w:color w:val="000000" w:themeColor="text1"/>
          <w:kern w:val="0"/>
          <w:sz w:val="32"/>
          <w:szCs w:val="32"/>
        </w:rPr>
        <w:t>亿元；</w:t>
      </w:r>
      <w:r>
        <w:rPr>
          <w:rFonts w:hint="eastAsia" w:ascii="仿宋_GB2312" w:hAnsi="仿宋_GB2312" w:eastAsia="仿宋_GB2312" w:cs="仿宋_GB2312"/>
          <w:color w:val="000000" w:themeColor="text1"/>
          <w:sz w:val="32"/>
          <w:szCs w:val="32"/>
        </w:rPr>
        <w:t>开复工五百万元以上产业项目34个，</w:t>
      </w:r>
    </w:p>
    <w:p>
      <w:pPr>
        <w:tabs>
          <w:tab w:val="left" w:pos="5670"/>
        </w:tabs>
        <w:spacing w:line="58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策划生成储备项目20个。8个省市“百大项目”取得重大进展。</w:t>
      </w:r>
      <w:r>
        <w:rPr>
          <w:rFonts w:hint="eastAsia" w:ascii="仿宋_GB2312" w:hAnsi="仿宋_GB2312" w:eastAsia="仿宋_GB2312" w:cs="仿宋_GB2312"/>
          <w:b/>
          <w:color w:val="000000" w:themeColor="text1"/>
          <w:sz w:val="32"/>
          <w:szCs w:val="32"/>
        </w:rPr>
        <w:t>农业</w:t>
      </w:r>
      <w:r>
        <w:rPr>
          <w:rFonts w:hint="eastAsia" w:ascii="仿宋_GB2312" w:hAnsi="仿宋_GB2312" w:eastAsia="仿宋_GB2312" w:cs="仿宋_GB2312"/>
          <w:b/>
          <w:bCs/>
          <w:color w:val="000000" w:themeColor="text1"/>
          <w:sz w:val="32"/>
          <w:szCs w:val="32"/>
        </w:rPr>
        <w:t>生产有序推进。五年</w:t>
      </w:r>
      <w:r>
        <w:rPr>
          <w:rFonts w:hint="eastAsia" w:ascii="仿宋_GB2312" w:hAnsi="仿宋_GB2312" w:eastAsia="仿宋_GB2312" w:cs="仿宋_GB2312"/>
          <w:color w:val="000000" w:themeColor="text1"/>
          <w:kern w:val="0"/>
          <w:sz w:val="32"/>
          <w:szCs w:val="32"/>
        </w:rPr>
        <w:t>粮食总产量突破100万吨，区属粮食产量</w:t>
      </w:r>
      <w:r>
        <w:rPr>
          <w:rFonts w:hint="eastAsia" w:ascii="仿宋_GB2312" w:hAnsi="仿宋_GB2312" w:eastAsia="仿宋_GB2312" w:cs="仿宋_GB2312"/>
          <w:color w:val="000000" w:themeColor="text1"/>
          <w:sz w:val="32"/>
          <w:szCs w:val="32"/>
        </w:rPr>
        <w:t>4.3万</w:t>
      </w:r>
      <w:r>
        <w:rPr>
          <w:rFonts w:hint="eastAsia" w:ascii="仿宋_GB2312" w:hAnsi="仿宋_GB2312" w:eastAsia="仿宋_GB2312" w:cs="仿宋_GB2312"/>
          <w:color w:val="000000" w:themeColor="text1"/>
          <w:kern w:val="0"/>
          <w:sz w:val="32"/>
          <w:szCs w:val="32"/>
        </w:rPr>
        <w:t>吨。农业总收入预计实现5.6亿元，农业总产值预计实现6.2亿元。</w:t>
      </w:r>
      <w:r>
        <w:rPr>
          <w:rFonts w:hint="eastAsia" w:ascii="仿宋_GB2312" w:hAnsi="仿宋_GB2312" w:eastAsia="仿宋_GB2312"/>
          <w:b/>
          <w:color w:val="000000" w:themeColor="text1"/>
          <w:sz w:val="32"/>
          <w:szCs w:val="32"/>
        </w:rPr>
        <w:t>工业转型升级提质增速。</w:t>
      </w:r>
      <w:r>
        <w:rPr>
          <w:rFonts w:hint="eastAsia" w:ascii="仿宋_GB2312" w:hAnsi="仿宋_GB2312" w:eastAsia="仿宋_GB2312" w:cs="仿宋_GB2312"/>
          <w:bCs/>
          <w:color w:val="000000" w:themeColor="text1"/>
          <w:sz w:val="32"/>
          <w:szCs w:val="32"/>
        </w:rPr>
        <w:t>全面推进煤炭行业淘汰落后产能化解过剩产能，</w:t>
      </w:r>
      <w:r>
        <w:rPr>
          <w:rFonts w:hint="eastAsia" w:ascii="仿宋_GB2312" w:hAnsi="仿宋_GB2312" w:eastAsia="仿宋_GB2312"/>
          <w:bCs/>
          <w:color w:val="000000" w:themeColor="text1"/>
          <w:sz w:val="32"/>
          <w:szCs w:val="32"/>
        </w:rPr>
        <w:t>集中关闭地方煤矿9处，地方煤矿由23处关闭整合为14处，规划产能提升到420万吨/年。</w:t>
      </w:r>
      <w:r>
        <w:rPr>
          <w:rFonts w:hint="eastAsia" w:ascii="仿宋_GB2312" w:hAnsi="仿宋_GB2312" w:eastAsia="仿宋_GB2312" w:cs="仿宋_GB2312"/>
          <w:b/>
          <w:bCs/>
          <w:color w:val="000000" w:themeColor="text1"/>
          <w:kern w:val="0"/>
          <w:sz w:val="32"/>
          <w:szCs w:val="32"/>
        </w:rPr>
        <w:t>现代服务业快速发展。</w:t>
      </w:r>
      <w:r>
        <w:rPr>
          <w:rFonts w:hint="eastAsia" w:ascii="仿宋_GB2312" w:hAnsi="仿宋_GB2312" w:eastAsia="仿宋_GB2312" w:cs="仿宋_GB2312"/>
          <w:color w:val="000000" w:themeColor="text1"/>
          <w:kern w:val="0"/>
          <w:sz w:val="32"/>
          <w:szCs w:val="32"/>
        </w:rPr>
        <w:t>电商产业园投入使用</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rPr>
        <w:t>入</w:t>
      </w:r>
      <w:r>
        <w:rPr>
          <w:rFonts w:hint="eastAsia" w:ascii="仿宋_GB2312" w:hAnsi="仿宋_GB2312" w:eastAsia="仿宋_GB2312" w:cs="仿宋_GB2312"/>
          <w:bCs/>
          <w:color w:val="000000" w:themeColor="text1"/>
          <w:kern w:val="0"/>
          <w:sz w:val="32"/>
          <w:szCs w:val="32"/>
        </w:rPr>
        <w:t>驻商户</w:t>
      </w: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bCs/>
          <w:color w:val="000000" w:themeColor="text1"/>
          <w:kern w:val="0"/>
          <w:sz w:val="32"/>
          <w:szCs w:val="32"/>
        </w:rPr>
        <w:t>家，</w:t>
      </w:r>
      <w:r>
        <w:rPr>
          <w:rFonts w:hint="eastAsia" w:ascii="仿宋_GB2312" w:hAnsi="仿宋_GB2312" w:eastAsia="仿宋_GB2312" w:cs="仿宋_GB2312"/>
          <w:color w:val="000000" w:themeColor="text1"/>
          <w:sz w:val="32"/>
          <w:szCs w:val="32"/>
        </w:rPr>
        <w:t>线上线下销售额达500万元。</w:t>
      </w:r>
    </w:p>
    <w:p>
      <w:pPr>
        <w:pStyle w:val="2"/>
        <w:spacing w:after="0"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color w:val="000000" w:themeColor="text1"/>
          <w:sz w:val="32"/>
          <w:szCs w:val="32"/>
        </w:rPr>
        <w:t>五年来，我们持之以恒补短板、强基础，城乡面貌日新月异。</w:t>
      </w:r>
      <w:r>
        <w:rPr>
          <w:rFonts w:hint="eastAsia" w:ascii="仿宋_GB2312" w:hAnsi="仿宋_GB2312" w:eastAsia="仿宋_GB2312" w:cs="仿宋_GB2312"/>
          <w:b/>
          <w:bCs/>
          <w:color w:val="000000" w:themeColor="text1"/>
          <w:kern w:val="0"/>
          <w:sz w:val="32"/>
          <w:szCs w:val="32"/>
        </w:rPr>
        <w:t>持续加强基础设施和城乡建设。</w:t>
      </w:r>
      <w:r>
        <w:rPr>
          <w:rFonts w:hint="eastAsia" w:ascii="仿宋_GB2312" w:hAnsi="仿宋_GB2312" w:eastAsia="仿宋_GB2312" w:cs="仿宋_GB2312"/>
          <w:color w:val="000000" w:themeColor="text1"/>
          <w:kern w:val="0"/>
          <w:sz w:val="32"/>
          <w:szCs w:val="32"/>
        </w:rPr>
        <w:t>大力实施“一创两建”和</w:t>
      </w:r>
      <w:r>
        <w:rPr>
          <w:rFonts w:hint="eastAsia" w:ascii="仿宋_GB2312" w:hAnsi="仿宋_GB2312" w:eastAsia="仿宋_GB2312" w:cs="仿宋_GB2312"/>
          <w:color w:val="000000" w:themeColor="text1"/>
          <w:sz w:val="32"/>
          <w:szCs w:val="32"/>
        </w:rPr>
        <w:t>乡村振兴</w:t>
      </w:r>
      <w:r>
        <w:rPr>
          <w:rFonts w:hint="eastAsia" w:ascii="仿宋_GB2312" w:hAnsi="仿宋_GB2312" w:eastAsia="仿宋_GB2312" w:cs="仿宋_GB2312"/>
          <w:color w:val="000000" w:themeColor="text1"/>
          <w:kern w:val="0"/>
          <w:sz w:val="32"/>
          <w:szCs w:val="32"/>
        </w:rPr>
        <w:t>。对</w:t>
      </w:r>
      <w:r>
        <w:rPr>
          <w:rFonts w:hint="eastAsia" w:ascii="仿宋_GB2312" w:hAnsi="仿宋_GB2312" w:eastAsia="仿宋_GB2312" w:cs="仿宋_GB2312"/>
          <w:color w:val="000000" w:themeColor="text1"/>
          <w:sz w:val="32"/>
          <w:szCs w:val="32"/>
        </w:rPr>
        <w:t>辖区市政设施、供水老旧管网系统和“三供一业”设施进行了改造。辖区内</w:t>
      </w:r>
      <w:r>
        <w:rPr>
          <w:rFonts w:hint="eastAsia" w:ascii="仿宋_GB2312" w:eastAsia="仿宋_GB2312"/>
          <w:color w:val="000000" w:themeColor="text1"/>
          <w:sz w:val="32"/>
          <w:szCs w:val="32"/>
        </w:rPr>
        <w:t>232条背街巷道全部完成改造。</w:t>
      </w:r>
      <w:r>
        <w:rPr>
          <w:rFonts w:hint="eastAsia" w:ascii="仿宋_GB2312" w:hAnsi="仿宋_GB2312" w:eastAsia="仿宋_GB2312" w:cs="仿宋_GB2312"/>
          <w:b/>
          <w:bCs/>
          <w:color w:val="000000" w:themeColor="text1"/>
          <w:sz w:val="32"/>
          <w:szCs w:val="32"/>
        </w:rPr>
        <w:t>道路交通体系不断完善。</w:t>
      </w:r>
      <w:r>
        <w:rPr>
          <w:rFonts w:hint="eastAsia" w:ascii="仿宋_GB2312" w:hAnsi="仿宋_GB2312" w:eastAsia="仿宋_GB2312" w:cs="仿宋_GB2312"/>
          <w:color w:val="000000" w:themeColor="text1"/>
          <w:sz w:val="32"/>
          <w:szCs w:val="32"/>
        </w:rPr>
        <w:t>集当公路宝山段全线通车。银河大街路面整体翻修，完成了新宝大街、宝林路、宝农路、环卫路等道路拓宽改造工程，农村村内路实现全硬化铺装。</w:t>
      </w:r>
      <w:r>
        <w:rPr>
          <w:rFonts w:hint="eastAsia" w:ascii="仿宋_GB2312" w:hAnsi="仿宋_GB2312" w:eastAsia="仿宋_GB2312" w:cs="仿宋_GB2312"/>
          <w:b/>
          <w:bCs/>
          <w:color w:val="000000" w:themeColor="text1"/>
          <w:sz w:val="32"/>
          <w:szCs w:val="32"/>
        </w:rPr>
        <w:t>持续加大环保力度。</w:t>
      </w:r>
      <w:r>
        <w:rPr>
          <w:rFonts w:hint="eastAsia" w:ascii="仿宋_GB2312" w:hAnsi="仿宋_GB2312" w:eastAsia="仿宋_GB2312" w:cs="仿宋_GB2312"/>
          <w:color w:val="000000" w:themeColor="text1"/>
          <w:sz w:val="32"/>
          <w:szCs w:val="32"/>
        </w:rPr>
        <w:t>撤并分散燃煤小锅炉24台。严格落实河湖长制，</w:t>
      </w:r>
      <w:r>
        <w:rPr>
          <w:rFonts w:hint="eastAsia" w:ascii="仿宋_GB2312" w:hAnsi="仿宋_GB2312" w:eastAsia="仿宋_GB2312" w:cs="仿宋_GB2312"/>
          <w:color w:val="000000" w:themeColor="text1"/>
          <w:kern w:val="0"/>
          <w:sz w:val="32"/>
          <w:szCs w:val="32"/>
        </w:rPr>
        <w:t>实现了河长认河全覆盖。开展了</w:t>
      </w:r>
      <w:r>
        <w:rPr>
          <w:rFonts w:hint="eastAsia" w:ascii="仿宋_GB2312" w:hAnsi="仿宋_GB2312" w:eastAsia="仿宋_GB2312" w:cs="仿宋_GB2312"/>
          <w:color w:val="000000" w:themeColor="text1"/>
          <w:sz w:val="32"/>
          <w:szCs w:val="32"/>
          <w:shd w:val="clear" w:color="auto" w:fill="FFFFFF"/>
        </w:rPr>
        <w:t>违建别墅整治</w:t>
      </w:r>
      <w:r>
        <w:rPr>
          <w:rFonts w:hint="eastAsia" w:ascii="仿宋_GB2312" w:hAnsi="仿宋_GB2312" w:eastAsia="仿宋_GB2312" w:cs="仿宋_GB2312"/>
          <w:color w:val="000000" w:themeColor="text1"/>
          <w:sz w:val="32"/>
          <w:szCs w:val="32"/>
        </w:rPr>
        <w:t>、森林督查专项行动和农村乱占耕地专项整治行动。深入推进秸秆禁烧和综合利用，</w:t>
      </w:r>
      <w:r>
        <w:rPr>
          <w:rFonts w:hint="eastAsia" w:ascii="仿宋_GB2312" w:hAnsi="仿宋_GB2312" w:eastAsia="仿宋_GB2312" w:cs="仿宋_GB2312"/>
          <w:color w:val="000000" w:themeColor="text1"/>
          <w:kern w:val="0"/>
          <w:sz w:val="32"/>
          <w:szCs w:val="32"/>
        </w:rPr>
        <w:t>连续五年未发生违法露天焚烧秸秆行为</w:t>
      </w:r>
      <w:r>
        <w:rPr>
          <w:rFonts w:hint="eastAsia" w:ascii="仿宋_GB2312" w:hAnsi="仿宋_GB2312" w:eastAsia="仿宋_GB2312" w:cs="仿宋_GB2312"/>
          <w:color w:val="000000" w:themeColor="text1"/>
          <w:sz w:val="32"/>
          <w:szCs w:val="32"/>
        </w:rPr>
        <w:t>。</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color w:val="000000" w:themeColor="text1"/>
          <w:sz w:val="32"/>
          <w:szCs w:val="32"/>
        </w:rPr>
        <w:t>五年来，我们倾心倾力解民忧、办实事，民生福祉大幅提升。</w:t>
      </w:r>
      <w:r>
        <w:rPr>
          <w:rFonts w:hint="eastAsia" w:ascii="仿宋_GB2312" w:hAnsi="仿宋_GB2312" w:eastAsia="仿宋_GB2312" w:cs="仿宋_GB2312"/>
          <w:b/>
          <w:bCs/>
          <w:color w:val="000000" w:themeColor="text1"/>
          <w:kern w:val="0"/>
          <w:sz w:val="32"/>
          <w:szCs w:val="32"/>
        </w:rPr>
        <w:t>千方百计扩大就业。</w:t>
      </w:r>
      <w:r>
        <w:rPr>
          <w:rFonts w:hint="eastAsia" w:ascii="仿宋_GB2312" w:hAnsi="仿宋_GB2312" w:eastAsia="仿宋_GB2312" w:cs="仿宋_GB2312"/>
          <w:color w:val="000000" w:themeColor="text1"/>
          <w:kern w:val="0"/>
          <w:sz w:val="32"/>
          <w:szCs w:val="32"/>
        </w:rPr>
        <w:t>全区新增就业16602人，城镇登记失业率控制在</w:t>
      </w:r>
      <w:r>
        <w:rPr>
          <w:rFonts w:hint="eastAsia" w:ascii="仿宋_GB2312" w:hAnsi="仿宋_GB2312" w:eastAsia="仿宋_GB2312" w:cs="仿宋_GB2312"/>
          <w:color w:val="000000" w:themeColor="text1"/>
          <w:sz w:val="32"/>
          <w:szCs w:val="32"/>
        </w:rPr>
        <w:t>3.8</w:t>
      </w:r>
      <w:r>
        <w:rPr>
          <w:rFonts w:hint="eastAsia" w:ascii="仿宋_GB2312" w:hAnsi="仿宋_GB2312" w:eastAsia="仿宋_GB2312" w:cs="仿宋_GB2312"/>
          <w:color w:val="000000" w:themeColor="text1"/>
          <w:kern w:val="0"/>
          <w:sz w:val="32"/>
          <w:szCs w:val="32"/>
        </w:rPr>
        <w:t>%以内，有效</w:t>
      </w:r>
      <w:r>
        <w:rPr>
          <w:rFonts w:hint="eastAsia" w:ascii="仿宋_GB2312" w:hAnsi="仿宋_GB2312" w:eastAsia="仿宋_GB2312" w:cs="仿宋_GB2312"/>
          <w:color w:val="000000" w:themeColor="text1"/>
          <w:sz w:val="32"/>
          <w:szCs w:val="32"/>
        </w:rPr>
        <w:t>解决了双矿转岗职工安置问题。</w:t>
      </w:r>
      <w:r>
        <w:rPr>
          <w:rFonts w:hint="eastAsia" w:ascii="仿宋_GB2312" w:hAnsi="仿宋_GB2312" w:eastAsia="仿宋_GB2312" w:cs="仿宋_GB2312"/>
          <w:b/>
          <w:bCs/>
          <w:color w:val="000000" w:themeColor="text1"/>
          <w:kern w:val="0"/>
          <w:sz w:val="32"/>
          <w:szCs w:val="32"/>
        </w:rPr>
        <w:t>教育事业蓬勃发展。</w:t>
      </w:r>
      <w:r>
        <w:rPr>
          <w:rFonts w:hint="eastAsia" w:ascii="仿宋_GB2312" w:hAnsi="仿宋_GB2312" w:eastAsia="仿宋_GB2312" w:cs="仿宋_GB2312"/>
          <w:color w:val="000000" w:themeColor="text1"/>
          <w:sz w:val="32"/>
          <w:szCs w:val="32"/>
          <w:shd w:val="clear" w:color="auto" w:fill="FFFFFF"/>
        </w:rPr>
        <w:t>全区小学通过了义务教育基本均衡发展国检验收。</w:t>
      </w:r>
      <w:r>
        <w:rPr>
          <w:rFonts w:hint="eastAsia" w:ascii="仿宋_GB2312" w:eastAsia="仿宋_GB2312"/>
          <w:color w:val="000000" w:themeColor="text1"/>
          <w:sz w:val="32"/>
          <w:szCs w:val="32"/>
        </w:rPr>
        <w:t>育人、星旺和宝山村小学被评为省市足球、乒乓球特色学校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医疗卫生事业不断进步。</w:t>
      </w:r>
      <w:r>
        <w:rPr>
          <w:rFonts w:hint="eastAsia" w:ascii="仿宋_GB2312" w:hAnsi="仿宋_GB2312" w:eastAsia="仿宋_GB2312" w:cs="仿宋_GB2312"/>
          <w:color w:val="000000" w:themeColor="text1"/>
          <w:sz w:val="32"/>
          <w:szCs w:val="32"/>
        </w:rPr>
        <w:t>全面深化医药卫生综合体制改革，建立了基本卫生服务和基本药物制度，有效解决了群众“看病难、看病贵”的问题。</w:t>
      </w:r>
      <w:r>
        <w:rPr>
          <w:rFonts w:hint="eastAsia" w:ascii="仿宋_GB2312" w:hAnsi="仿宋_GB2312" w:eastAsia="仿宋_GB2312" w:cs="仿宋_GB2312"/>
          <w:b/>
          <w:bCs/>
          <w:color w:val="000000" w:themeColor="text1"/>
          <w:sz w:val="32"/>
          <w:szCs w:val="32"/>
        </w:rPr>
        <w:t>社会保障体系不断完善。</w:t>
      </w:r>
      <w:r>
        <w:rPr>
          <w:rFonts w:hint="eastAsia" w:ascii="仿宋_GB2312" w:hAnsi="仿宋_GB2312" w:eastAsia="仿宋_GB2312" w:cs="仿宋_GB2312"/>
          <w:color w:val="000000" w:themeColor="text1"/>
          <w:kern w:val="0"/>
          <w:sz w:val="32"/>
          <w:szCs w:val="32"/>
        </w:rPr>
        <w:t>低保户从8144户下降到6130户，</w:t>
      </w:r>
      <w:r>
        <w:rPr>
          <w:rFonts w:hint="eastAsia" w:ascii="仿宋_GB2312" w:hAnsi="仿宋_GB2312" w:eastAsia="仿宋_GB2312" w:cs="仿宋_GB2312"/>
          <w:color w:val="000000" w:themeColor="text1"/>
          <w:sz w:val="32"/>
          <w:szCs w:val="32"/>
        </w:rPr>
        <w:t>累计发放低保金3亿元，发放各类社会救助资金共计4.29亿元。大病保险最高支付限额由2.5万元提高至30万元。</w:t>
      </w:r>
      <w:r>
        <w:rPr>
          <w:rFonts w:hint="eastAsia" w:ascii="仿宋_GB2312" w:hAnsi="仿宋_GB2312" w:eastAsia="仿宋_GB2312" w:cs="仿宋_GB2312"/>
          <w:b/>
          <w:bCs/>
          <w:color w:val="000000" w:themeColor="text1"/>
          <w:sz w:val="32"/>
          <w:szCs w:val="32"/>
        </w:rPr>
        <w:t>大力改善居住环境。</w:t>
      </w:r>
      <w:r>
        <w:rPr>
          <w:rFonts w:hint="eastAsia" w:ascii="仿宋_GB2312" w:hAnsi="仿宋_GB2312" w:eastAsia="仿宋_GB2312" w:cs="仿宋_GB2312"/>
          <w:color w:val="000000" w:themeColor="text1"/>
          <w:sz w:val="32"/>
          <w:szCs w:val="32"/>
        </w:rPr>
        <w:t>宝山区成为国家采煤沉陷区综合治理工程试点区，阳光、康安嘉园采沉区避险安置项目建成投入使用。棚改安置加快推进，7169户棚户区居民搬迁上楼。</w:t>
      </w:r>
    </w:p>
    <w:p>
      <w:pPr>
        <w:widowControl/>
        <w:spacing w:line="580" w:lineRule="exact"/>
        <w:ind w:firstLine="643" w:firstLineChars="200"/>
        <w:rPr>
          <w:rFonts w:ascii="方正仿宋_GB2312" w:hAnsi="方正仿宋_GB2312" w:eastAsia="方正仿宋_GB2312" w:cs="方正仿宋_GB2312"/>
          <w:color w:val="000000" w:themeColor="text1"/>
          <w:sz w:val="32"/>
          <w:szCs w:val="32"/>
          <w:shd w:val="clear" w:color="auto" w:fill="FFFFFF"/>
        </w:rPr>
      </w:pPr>
      <w:r>
        <w:rPr>
          <w:rFonts w:hint="eastAsia" w:ascii="楷体_GB2312" w:hAnsi="楷体_GB2312" w:eastAsia="楷体_GB2312" w:cs="楷体_GB2312"/>
          <w:b/>
          <w:color w:val="000000" w:themeColor="text1"/>
          <w:sz w:val="32"/>
          <w:szCs w:val="32"/>
        </w:rPr>
        <w:t>五年来，我们更大力度建机制、促长效，社会治理成效凸显。</w:t>
      </w:r>
      <w:r>
        <w:rPr>
          <w:rFonts w:hint="eastAsia" w:ascii="仿宋_GB2312" w:hAnsi="仿宋_GB2312" w:eastAsia="仿宋_GB2312" w:cs="仿宋_GB2312"/>
          <w:b/>
          <w:bCs/>
          <w:color w:val="000000" w:themeColor="text1"/>
          <w:kern w:val="0"/>
          <w:sz w:val="32"/>
          <w:szCs w:val="32"/>
        </w:rPr>
        <w:t>突出抓好安全生产。</w:t>
      </w:r>
      <w:r>
        <w:rPr>
          <w:rFonts w:hint="eastAsia" w:ascii="仿宋_GB2312" w:hAnsi="仿宋_GB2312" w:eastAsia="仿宋_GB2312" w:cs="仿宋_GB2312"/>
          <w:color w:val="000000" w:themeColor="text1"/>
          <w:kern w:val="0"/>
          <w:sz w:val="32"/>
          <w:szCs w:val="32"/>
        </w:rPr>
        <w:t>深入开展煤矿</w:t>
      </w:r>
      <w:r>
        <w:rPr>
          <w:rFonts w:hint="eastAsia" w:ascii="仿宋_GB2312" w:hAnsi="仿宋_GB2312" w:eastAsia="仿宋_GB2312" w:cs="仿宋_GB2312"/>
          <w:color w:val="000000" w:themeColor="text1"/>
          <w:sz w:val="32"/>
          <w:szCs w:val="32"/>
        </w:rPr>
        <w:t>安全生产专项整治行动，</w:t>
      </w:r>
      <w:r>
        <w:rPr>
          <w:rFonts w:hint="eastAsia" w:ascii="仿宋_GB2312" w:hAnsi="仿宋_GB2312" w:eastAsia="仿宋_GB2312" w:cs="仿宋_GB2312"/>
          <w:color w:val="000000" w:themeColor="text1"/>
          <w:kern w:val="0"/>
          <w:sz w:val="32"/>
          <w:szCs w:val="32"/>
        </w:rPr>
        <w:t>交通运输、非煤矿山、建筑工地、危险化学品、消防等重点领域安全监管机制更加完善。不断强化食品、药品、农产品安全监管，全区生产生活安全得到有效保障。</w:t>
      </w:r>
      <w:r>
        <w:rPr>
          <w:rFonts w:hint="eastAsia" w:ascii="仿宋_GB2312" w:hAnsi="仿宋_GB2312" w:eastAsia="仿宋_GB2312" w:cs="仿宋_GB2312"/>
          <w:b/>
          <w:bCs/>
          <w:color w:val="000000" w:themeColor="text1"/>
          <w:sz w:val="32"/>
          <w:szCs w:val="32"/>
        </w:rPr>
        <w:t>畅通群众信访诉求渠道。</w:t>
      </w:r>
      <w:r>
        <w:rPr>
          <w:rFonts w:hint="eastAsia" w:ascii="仿宋_GB2312" w:hAnsi="仿宋_GB2312" w:eastAsia="仿宋_GB2312" w:cs="仿宋_GB2312"/>
          <w:bCs/>
          <w:color w:val="000000" w:themeColor="text1"/>
          <w:kern w:val="0"/>
          <w:sz w:val="32"/>
          <w:szCs w:val="32"/>
        </w:rPr>
        <w:t>坚持领导干部“三访一包”制度，及时有效的化解了育龙小学事件，依法依规解决了两清教师、双矿转岗</w:t>
      </w:r>
      <w:r>
        <w:rPr>
          <w:rFonts w:hint="eastAsia" w:ascii="仿宋_GB2312" w:hAnsi="仿宋_GB2312" w:eastAsia="仿宋_GB2312" w:cs="仿宋_GB2312"/>
          <w:color w:val="000000" w:themeColor="text1"/>
          <w:sz w:val="32"/>
          <w:szCs w:val="32"/>
        </w:rPr>
        <w:t>等群体信访。</w:t>
      </w:r>
      <w:r>
        <w:rPr>
          <w:rFonts w:hint="eastAsia" w:ascii="仿宋_GB2312" w:hAnsi="仿宋_GB2312" w:eastAsia="仿宋_GB2312" w:cs="仿宋_GB2312"/>
          <w:b/>
          <w:bCs/>
          <w:color w:val="000000" w:themeColor="text1"/>
          <w:kern w:val="0"/>
          <w:sz w:val="32"/>
          <w:szCs w:val="32"/>
        </w:rPr>
        <w:t>强化社会治安综合治理。</w:t>
      </w:r>
      <w:r>
        <w:rPr>
          <w:rFonts w:hint="eastAsia" w:ascii="仿宋_GB2312" w:hAnsi="仿宋_GB2312" w:eastAsia="仿宋_GB2312" w:cs="仿宋_GB2312"/>
          <w:color w:val="000000" w:themeColor="text1"/>
          <w:kern w:val="0"/>
          <w:sz w:val="32"/>
          <w:szCs w:val="32"/>
        </w:rPr>
        <w:t>严厉打击各类违法犯罪，刑事案件发生率大幅下降。</w:t>
      </w:r>
      <w:r>
        <w:rPr>
          <w:rFonts w:hint="eastAsia" w:ascii="仿宋_GB2312" w:hAnsi="仿宋_GB2312" w:eastAsia="仿宋_GB2312" w:cs="仿宋_GB2312"/>
          <w:color w:val="000000" w:themeColor="text1"/>
          <w:sz w:val="32"/>
          <w:szCs w:val="32"/>
        </w:rPr>
        <w:t>深入开展禁毒工作，打击食品药品和环境领域违法行为。</w:t>
      </w:r>
      <w:r>
        <w:rPr>
          <w:rFonts w:hint="eastAsia" w:ascii="仿宋_GB2312" w:hAnsi="仿宋_GB2312" w:eastAsia="仿宋_GB2312" w:cs="仿宋_GB2312"/>
          <w:color w:val="000000" w:themeColor="text1"/>
          <w:kern w:val="0"/>
          <w:sz w:val="32"/>
          <w:szCs w:val="32"/>
        </w:rPr>
        <w:t>推行社区治安网格化管理模式，</w:t>
      </w:r>
      <w:r>
        <w:rPr>
          <w:rFonts w:hint="eastAsia" w:ascii="仿宋_GB2312" w:hAnsi="仿宋_GB2312" w:eastAsia="仿宋_GB2312" w:cs="仿宋_GB2312"/>
          <w:bCs/>
          <w:color w:val="000000" w:themeColor="text1"/>
          <w:kern w:val="0"/>
          <w:sz w:val="32"/>
          <w:szCs w:val="32"/>
        </w:rPr>
        <w:t>人民</w:t>
      </w:r>
      <w:r>
        <w:rPr>
          <w:rFonts w:hint="eastAsia" w:ascii="仿宋_GB2312" w:hAnsi="仿宋_GB2312" w:eastAsia="仿宋_GB2312" w:cs="仿宋_GB2312"/>
          <w:color w:val="000000" w:themeColor="text1"/>
          <w:sz w:val="32"/>
          <w:szCs w:val="32"/>
        </w:rPr>
        <w:t>安全感和满意度实现“双提升”</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b/>
          <w:bCs/>
          <w:color w:val="000000" w:themeColor="text1"/>
          <w:sz w:val="32"/>
          <w:szCs w:val="32"/>
          <w:shd w:val="clear" w:color="auto" w:fill="FFFFFF"/>
        </w:rPr>
        <w:t>深入开展扫黑除恶专项斗争。</w:t>
      </w:r>
      <w:r>
        <w:rPr>
          <w:rFonts w:hint="eastAsia" w:ascii="仿宋_GB2312" w:hAnsi="仿宋_GB2312" w:eastAsia="仿宋_GB2312" w:cs="仿宋_GB2312"/>
          <w:color w:val="000000" w:themeColor="text1"/>
          <w:sz w:val="32"/>
          <w:szCs w:val="32"/>
        </w:rPr>
        <w:t>成功打掉黑恶势力团伙1个，抓获涉案成员18人，破获关联刑事案件11起，线索查结率达100%。</w:t>
      </w:r>
    </w:p>
    <w:p>
      <w:pPr>
        <w:widowControl/>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color w:val="000000" w:themeColor="text1"/>
          <w:sz w:val="32"/>
          <w:szCs w:val="32"/>
        </w:rPr>
        <w:t>五年来，我们坚持不懈转作风、提效能，自身建设显著增强。</w:t>
      </w:r>
      <w:r>
        <w:rPr>
          <w:rFonts w:hint="eastAsia" w:ascii="仿宋_GB2312" w:hAnsi="仿宋_GB2312" w:eastAsia="仿宋_GB2312" w:cs="仿宋_GB2312"/>
          <w:color w:val="000000" w:themeColor="text1"/>
          <w:sz w:val="32"/>
          <w:szCs w:val="32"/>
        </w:rPr>
        <w:t>始终把政治建设放在首位，扎实开展“不忘初心、牢记使命”主题教育。</w:t>
      </w:r>
      <w:r>
        <w:rPr>
          <w:rFonts w:hint="eastAsia" w:ascii="仿宋_GB2312" w:hAnsi="仿宋_GB2312" w:eastAsia="仿宋_GB2312" w:cs="仿宋_GB2312"/>
          <w:b/>
          <w:bCs/>
          <w:color w:val="000000" w:themeColor="text1"/>
          <w:sz w:val="32"/>
          <w:szCs w:val="32"/>
        </w:rPr>
        <w:t>依法行政不断加强。</w:t>
      </w:r>
      <w:r>
        <w:rPr>
          <w:rFonts w:hint="eastAsia" w:ascii="仿宋_GB2312" w:hAnsi="仿宋_GB2312" w:eastAsia="仿宋_GB2312" w:cs="仿宋_GB2312"/>
          <w:color w:val="000000" w:themeColor="text1"/>
          <w:sz w:val="32"/>
          <w:szCs w:val="32"/>
        </w:rPr>
        <w:t>推行会前学法、法律顾问和公职律师制度。实现市场监管领域联合“双随机、一公开”监管全覆盖、常态化。全面提升审计监督职能。推进预算执行审计，加强任中和离任审计力度，确保资金使用效益。</w:t>
      </w:r>
      <w:r>
        <w:rPr>
          <w:rFonts w:hint="eastAsia" w:ascii="仿宋_GB2312" w:hAnsi="仿宋_GB2312" w:eastAsia="仿宋_GB2312" w:cs="仿宋_GB2312"/>
          <w:b/>
          <w:color w:val="000000" w:themeColor="text1"/>
          <w:kern w:val="0"/>
          <w:sz w:val="32"/>
          <w:szCs w:val="32"/>
        </w:rPr>
        <w:t>营商环境持续优化。</w:t>
      </w:r>
      <w:r>
        <w:rPr>
          <w:rFonts w:hint="eastAsia" w:ascii="仿宋_GB2312" w:hAnsi="仿宋_GB2312" w:eastAsia="仿宋_GB2312" w:cs="仿宋_GB2312"/>
          <w:color w:val="000000" w:themeColor="text1"/>
          <w:kern w:val="0"/>
          <w:sz w:val="32"/>
          <w:szCs w:val="32"/>
        </w:rPr>
        <w:t>深入实施“互联网+政务服务”和“一网、一门、一次”改革，政务服务事项网上可办率达99.5%，</w:t>
      </w:r>
      <w:r>
        <w:rPr>
          <w:rFonts w:hint="eastAsia" w:ascii="仿宋_GB2312" w:hAnsi="仿宋_GB2312" w:eastAsia="仿宋_GB2312" w:cs="仿宋_GB2312"/>
          <w:color w:val="000000" w:themeColor="text1"/>
          <w:sz w:val="32"/>
          <w:szCs w:val="32"/>
          <w:lang w:val="zh-CN"/>
        </w:rPr>
        <w:t>进驻综合性实体政务大厅</w:t>
      </w:r>
      <w:r>
        <w:rPr>
          <w:rFonts w:hint="eastAsia" w:ascii="仿宋_GB2312" w:hAnsi="仿宋_GB2312" w:eastAsia="仿宋_GB2312" w:cs="仿宋_GB2312"/>
          <w:color w:val="000000" w:themeColor="text1"/>
          <w:sz w:val="32"/>
          <w:szCs w:val="32"/>
        </w:rPr>
        <w:t>达到100%，160项</w:t>
      </w:r>
      <w:r>
        <w:rPr>
          <w:rFonts w:hint="eastAsia" w:ascii="仿宋_GB2312" w:hAnsi="仿宋_GB2312" w:eastAsia="仿宋_GB2312" w:cs="仿宋_GB2312"/>
          <w:color w:val="000000" w:themeColor="text1"/>
          <w:sz w:val="32"/>
          <w:szCs w:val="32"/>
          <w:lang w:val="zh-CN"/>
        </w:rPr>
        <w:t>政务服务事项实现“一窗”分类受理。</w:t>
      </w:r>
      <w:r>
        <w:rPr>
          <w:rFonts w:hint="eastAsia" w:ascii="仿宋_GB2312" w:hAnsi="仿宋_GB2312" w:eastAsia="仿宋_GB2312" w:cs="仿宋_GB2312"/>
          <w:b/>
          <w:bCs/>
          <w:color w:val="000000" w:themeColor="text1"/>
          <w:kern w:val="0"/>
          <w:sz w:val="32"/>
          <w:szCs w:val="32"/>
        </w:rPr>
        <w:t>机构改革深入推进。</w:t>
      </w:r>
      <w:r>
        <w:rPr>
          <w:rFonts w:hint="eastAsia" w:ascii="仿宋_GB2312" w:hAnsi="仿宋_GB2312" w:eastAsia="仿宋_GB2312" w:cs="仿宋_GB2312"/>
          <w:color w:val="000000" w:themeColor="text1"/>
          <w:kern w:val="0"/>
          <w:sz w:val="32"/>
          <w:szCs w:val="32"/>
        </w:rPr>
        <w:t>行政部门、事业单位改革稳步进行，退役军人事务局、营商环境建设监督局等4个部门相继挂牌成立。</w:t>
      </w:r>
      <w:r>
        <w:rPr>
          <w:rFonts w:hint="eastAsia" w:ascii="仿宋_GB2312" w:hAnsi="仿宋_GB2312" w:eastAsia="仿宋_GB2312" w:cs="仿宋_GB2312"/>
          <w:color w:val="000000" w:themeColor="text1"/>
          <w:sz w:val="32"/>
          <w:szCs w:val="32"/>
        </w:rPr>
        <w:t>农垦、森工1423项行政职能全部接收完毕。</w:t>
      </w:r>
      <w:r>
        <w:rPr>
          <w:rFonts w:hint="eastAsia" w:ascii="仿宋_GB2312" w:hAnsi="仿宋_GB2312" w:eastAsia="仿宋_GB2312" w:cs="仿宋_GB2312"/>
          <w:b/>
          <w:bCs/>
          <w:color w:val="000000" w:themeColor="text1"/>
          <w:sz w:val="32"/>
          <w:szCs w:val="32"/>
        </w:rPr>
        <w:t>持续推进法治建设。</w:t>
      </w:r>
      <w:r>
        <w:rPr>
          <w:rFonts w:hint="eastAsia" w:ascii="仿宋_GB2312" w:hAnsi="仿宋_GB2312" w:eastAsia="仿宋_GB2312" w:cs="仿宋_GB2312"/>
          <w:color w:val="000000" w:themeColor="text1"/>
          <w:sz w:val="32"/>
          <w:szCs w:val="32"/>
        </w:rPr>
        <w:t>全面落实“七五”普法任务，积极完成法治政府建设五年规划奋斗目标，</w:t>
      </w:r>
      <w:r>
        <w:rPr>
          <w:rFonts w:hint="eastAsia" w:ascii="仿宋_GB2312" w:hAnsi="仿宋_GB2312" w:eastAsia="仿宋_GB2312" w:cs="仿宋_GB2312"/>
          <w:color w:val="000000" w:themeColor="text1"/>
          <w:kern w:val="0"/>
          <w:sz w:val="32"/>
          <w:szCs w:val="32"/>
        </w:rPr>
        <w:t>深入开展法律援助、人民调解、刑释人员安置帮教和社区矫正工作。</w:t>
      </w:r>
    </w:p>
    <w:p>
      <w:pPr>
        <w:widowControl/>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各位代表！刚刚过去的2020年，我们面对突发全球性公共卫生安全事件，众志成城，合力攻坚，努力实现了各项经济指标的由负转正，较好的完成了年度各项工作任务。一年来，主要做了以下工作：</w:t>
      </w:r>
    </w:p>
    <w:p>
      <w:pPr>
        <w:pStyle w:val="2"/>
        <w:spacing w:after="0" w:line="58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——全面抗击新冠肺炎疫情。</w:t>
      </w:r>
      <w:r>
        <w:rPr>
          <w:rFonts w:hint="eastAsia" w:ascii="仿宋_GB2312" w:eastAsia="仿宋_GB2312"/>
          <w:color w:val="000000" w:themeColor="text1"/>
          <w:sz w:val="32"/>
          <w:szCs w:val="32"/>
        </w:rPr>
        <w:t>面对突如其来的新冠肺炎疫情，我们以习近平总书记关于疫情防控工作的重要讲话和重要指示批示精神为根本遵循，全面贯彻党中央国务院、省委省政府和市委市政府的决策部署，坚持人民至上、生命至上，迅速启动重大突发公共卫生事件一级响应，成立区应对疫情工作领导小组及其指挥部，密集对疫情防控工作进行部署和调度，区属各部门闻令而动，快速开展工作，迅速形成了立体防控格局。压实“四方责任”，与农场、林场建立了联防联控工作机制，严格执行“三保措施”，慎终如始抓好“外防输入、内防反弹”工作，全面落实人、物同防，累计投入各类抗疫资金1500万元，实现了新冠肺炎零输入、零疑似、零确诊的抗疫阶段性胜利。</w:t>
      </w:r>
    </w:p>
    <w:p>
      <w:pPr>
        <w:spacing w:line="580" w:lineRule="exact"/>
        <w:ind w:firstLine="643" w:firstLineChars="200"/>
        <w:rPr>
          <w:rFonts w:ascii="仿宋_GB2312" w:hAnsi="宋体" w:eastAsia="仿宋_GB2312"/>
          <w:color w:val="000000" w:themeColor="text1"/>
          <w:sz w:val="32"/>
          <w:szCs w:val="32"/>
        </w:rPr>
      </w:pPr>
      <w:r>
        <w:rPr>
          <w:rFonts w:hint="eastAsia" w:ascii="楷体_GB2312" w:hAnsi="楷体_GB2312" w:eastAsia="楷体_GB2312" w:cs="楷体_GB2312"/>
          <w:b/>
          <w:bCs/>
          <w:color w:val="000000" w:themeColor="text1"/>
          <w:sz w:val="32"/>
          <w:szCs w:val="32"/>
        </w:rPr>
        <w:t>——着力稳定区域经济发展。</w:t>
      </w:r>
      <w:r>
        <w:rPr>
          <w:rFonts w:hint="eastAsia" w:ascii="仿宋_GB2312" w:eastAsia="仿宋_GB2312"/>
          <w:color w:val="000000" w:themeColor="text1"/>
          <w:sz w:val="32"/>
          <w:szCs w:val="32"/>
        </w:rPr>
        <w:t>2020年，地区生产总值（区属）预计增长1.5%,固定资产投资预计增长19%，公共财政预算收入增长12%，社会消费品零售总额预计下降5%，城镇居民和农村常住居民人均可支配收入预计分别增长1%和7%。引进3000万元产业项目2个，招商项目签约额完成33.5亿元。开复工500万元以上产业项目12个，新开工产业项目7个。省、市“百大项目”实现开复工率100%。争取国家、省级各类政策性项目资金2585.5万元。全年粮食总产量（含农垦）16.4万吨。栽种地摆木耳94万棒。生猪出栏31500头、禽存栏27.2万羽。全区原煤产量322万吨，其中地方煤矿原煤产量71.2万吨。全区发电（含风电）37亿千瓦时。服务行业401家迅速复市复业，商业运行恢复率达到100%。电商产业园年营业额达到120万元。</w:t>
      </w:r>
    </w:p>
    <w:p>
      <w:pPr>
        <w:spacing w:line="580" w:lineRule="exact"/>
        <w:ind w:firstLine="643" w:firstLineChars="200"/>
        <w:rPr>
          <w:rFonts w:ascii="仿宋_GB2312" w:eastAsia="仿宋_GB2312"/>
          <w:color w:val="000000" w:themeColor="text1"/>
          <w:spacing w:val="8"/>
          <w:sz w:val="32"/>
          <w:szCs w:val="32"/>
          <w:shd w:val="clear" w:color="auto" w:fill="FFFFFF"/>
        </w:rPr>
      </w:pPr>
      <w:r>
        <w:rPr>
          <w:rFonts w:hint="eastAsia" w:ascii="楷体_GB2312" w:hAnsi="楷体_GB2312" w:eastAsia="楷体_GB2312" w:cs="楷体_GB2312"/>
          <w:b/>
          <w:bCs/>
          <w:color w:val="000000" w:themeColor="text1"/>
          <w:sz w:val="32"/>
          <w:szCs w:val="32"/>
        </w:rPr>
        <w:t>——持续改善城乡基础设施。</w:t>
      </w:r>
      <w:r>
        <w:rPr>
          <w:rFonts w:hint="eastAsia" w:ascii="仿宋_GB2312" w:hAnsi="仿宋_GB2312" w:eastAsia="仿宋_GB2312" w:cs="仿宋_GB2312"/>
          <w:color w:val="000000" w:themeColor="text1"/>
          <w:sz w:val="32"/>
          <w:szCs w:val="32"/>
        </w:rPr>
        <w:t>完成了集当公路宝山段改扩建工程392户房屋、地上物，130.8万平方米土地和19家产权单位基础设施征拆，</w:t>
      </w:r>
      <w:r>
        <w:rPr>
          <w:rFonts w:hint="eastAsia" w:ascii="仿宋_GB2312" w:eastAsia="仿宋_GB2312"/>
          <w:color w:val="000000" w:themeColor="text1"/>
          <w:sz w:val="32"/>
          <w:szCs w:val="32"/>
        </w:rPr>
        <w:t>确保工程如期交工通车。</w:t>
      </w:r>
      <w:r>
        <w:rPr>
          <w:rFonts w:hint="eastAsia" w:ascii="仿宋_GB2312" w:hAnsi="仿宋_GB2312" w:eastAsia="仿宋_GB2312" w:cs="仿宋_GB2312"/>
          <w:color w:val="000000" w:themeColor="text1"/>
          <w:sz w:val="32"/>
          <w:szCs w:val="32"/>
        </w:rPr>
        <w:t>投资9011万元完成银河大街污水、供水管网及路面、人行道、路灯改造和集当公路宝山段供水管网改迁项目。自筹资金50万元对银河大街两侧实施了绿化改造。</w:t>
      </w:r>
      <w:r>
        <w:rPr>
          <w:rFonts w:hint="eastAsia" w:ascii="仿宋_GB2312" w:eastAsia="仿宋_GB2312"/>
          <w:color w:val="000000" w:themeColor="text1"/>
          <w:sz w:val="32"/>
          <w:szCs w:val="32"/>
        </w:rPr>
        <w:t>新建了明山广场、五人制足球场，辖区6所小学完成薄改和集中改厕</w:t>
      </w:r>
      <w:r>
        <w:rPr>
          <w:rStyle w:val="21"/>
          <w:rFonts w:hint="eastAsia" w:ascii="仿宋_GB2312" w:hAnsi="仿宋_GB2312" w:eastAsia="仿宋_GB2312" w:cs="仿宋_GB2312"/>
          <w:color w:val="000000" w:themeColor="text1"/>
          <w:spacing w:val="18"/>
          <w:sz w:val="32"/>
          <w:szCs w:val="32"/>
        </w:rPr>
        <w:t>。</w:t>
      </w:r>
      <w:r>
        <w:rPr>
          <w:rFonts w:hint="eastAsia" w:ascii="仿宋_GB2312" w:hAnsi="仿宋_GB2312" w:eastAsia="仿宋_GB2312" w:cs="仿宋_GB2312"/>
          <w:color w:val="000000" w:themeColor="text1"/>
          <w:sz w:val="32"/>
          <w:szCs w:val="32"/>
        </w:rPr>
        <w:t>投资430万元建设垃圾处理分拣站6个、污水处理厂1处。投入400万元进行了农村室内卫生厕所改造和宝莱河河道清理</w:t>
      </w:r>
      <w:r>
        <w:rPr>
          <w:rFonts w:hint="eastAsia" w:ascii="仿宋_GB2312" w:eastAsia="仿宋_GB2312"/>
          <w:color w:val="000000" w:themeColor="text1"/>
          <w:spacing w:val="8"/>
          <w:sz w:val="32"/>
          <w:szCs w:val="32"/>
          <w:shd w:val="clear" w:color="auto" w:fill="FFFFFF"/>
        </w:rPr>
        <w:t>。城区公共卫生间建成投入使用。</w:t>
      </w:r>
      <w:r>
        <w:rPr>
          <w:rFonts w:hint="eastAsia" w:ascii="仿宋_GB2312" w:hAnsi="仿宋_GB2312" w:eastAsia="仿宋_GB2312" w:cs="仿宋_GB2312"/>
          <w:color w:val="000000" w:themeColor="text1"/>
          <w:sz w:val="32"/>
          <w:szCs w:val="32"/>
        </w:rPr>
        <w:t>多渠道筹措资金扩大秸秆利用和禁烧管控，秸秆综合利用率达到90%，秸秆还田利用率达到61%。</w:t>
      </w:r>
      <w:r>
        <w:rPr>
          <w:rFonts w:hint="eastAsia" w:ascii="仿宋_GB2312" w:eastAsia="仿宋_GB2312"/>
          <w:color w:val="000000" w:themeColor="text1"/>
          <w:sz w:val="32"/>
          <w:szCs w:val="32"/>
        </w:rPr>
        <w:t>投入150万元修复台风造成的受损农村桥涵、路面、河道。</w:t>
      </w:r>
    </w:p>
    <w:p>
      <w:pPr>
        <w:spacing w:line="580" w:lineRule="exact"/>
        <w:ind w:firstLine="643" w:firstLineChars="200"/>
        <w:rPr>
          <w:rFonts w:ascii="仿宋_GB2312" w:hAnsi="宋体" w:eastAsia="仿宋_GB2312"/>
          <w:color w:val="000000" w:themeColor="text1"/>
          <w:sz w:val="32"/>
          <w:szCs w:val="32"/>
        </w:rPr>
      </w:pPr>
      <w:r>
        <w:rPr>
          <w:rFonts w:hint="eastAsia" w:ascii="楷体_GB2312" w:hAnsi="楷体_GB2312" w:eastAsia="楷体_GB2312" w:cs="楷体_GB2312"/>
          <w:b/>
          <w:bCs/>
          <w:color w:val="000000" w:themeColor="text1"/>
          <w:sz w:val="32"/>
          <w:szCs w:val="32"/>
        </w:rPr>
        <w:t>——不断提高民生保障能力。</w:t>
      </w:r>
      <w:r>
        <w:rPr>
          <w:rFonts w:hint="eastAsia" w:ascii="仿宋_GB2312" w:hAnsi="宋体" w:eastAsia="仿宋_GB2312"/>
          <w:color w:val="000000" w:themeColor="text1"/>
          <w:sz w:val="32"/>
          <w:szCs w:val="32"/>
        </w:rPr>
        <w:t>民生支出5883万元，群众幸福感获得感显著提升。积极扶持学前教育发展，民办普惠性幼儿园覆盖率达到100%。全区新增就业2406人，失业再就业1486人，就业困难人员再就业622人，城镇登记失业率3.6%以内。发放各类社会救助资金6076.7万元。城乡居民基本医疗保险参保人数达到39432人。利用省专项扶持资金和区政府自筹资金共计190万元，将区医院检验科改建成核酸检测实验室，全面提升核酸检测能力。开展整治“保健”市场乱象百日行动、农村食品安全、校园及周边食品安全等专项检查，查处无照经营、食品、药品、化妆品违法案件6件，市场乱象得到有效治理。实施餐饮质量提升工程，学校、托幼机构“明厨亮灶”率达100%。在全市率先完成了4195套住房及325套商服、车库安置任务，率先完成了190.7万平方米净地拆扒任务。</w:t>
      </w:r>
    </w:p>
    <w:p>
      <w:pPr>
        <w:pStyle w:val="2"/>
        <w:spacing w:after="0"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——推动社会事业蓬勃发展。</w:t>
      </w:r>
      <w:r>
        <w:rPr>
          <w:rFonts w:hint="eastAsia" w:ascii="仿宋_GB2312" w:hAnsi="仿宋_GB2312" w:eastAsia="仿宋_GB2312" w:cs="仿宋_GB2312"/>
          <w:color w:val="000000" w:themeColor="text1"/>
          <w:sz w:val="32"/>
          <w:szCs w:val="32"/>
        </w:rPr>
        <w:t>深入推动国防教育“进机关、进学校、进企业、进乡镇”活动，建成了全省首个“征兵站”，投入194.8万元扩建了人武部附属用房。司法办公用房主体完工。育人小学被评为全市第一所国家级文明校园和国家级国防教育示范基地。积极向上申请资金，建成了“五位一体”仁和居家和社区养老服务中心。按时保质保量完成27家企业18636册国有企业退休人员档案移交。投入86万元建设的新政务服务大厅完成室内装修。全面启动了第七次全国人口普查工作。组织开展了“不忘初心跟党走，改革创新勇当先”知识竞赛、纪念五四运动101周年宝山青年经典诵读会等各类文体活动6场次。</w:t>
      </w:r>
    </w:p>
    <w:p>
      <w:pPr>
        <w:spacing w:line="580" w:lineRule="exact"/>
        <w:ind w:firstLine="711"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pacing w:val="17"/>
          <w:sz w:val="32"/>
          <w:szCs w:val="32"/>
        </w:rPr>
        <w:t>——努力维护社会和谐稳定。</w:t>
      </w:r>
      <w:r>
        <w:rPr>
          <w:rFonts w:hint="eastAsia" w:ascii="仿宋_GB2312" w:eastAsia="仿宋_GB2312"/>
          <w:color w:val="000000" w:themeColor="text1"/>
          <w:spacing w:val="8"/>
          <w:sz w:val="32"/>
          <w:szCs w:val="32"/>
          <w:shd w:val="clear" w:color="auto" w:fill="FFFFFF"/>
        </w:rPr>
        <w:t>全面落实企业主体责任和政府监管责任，</w:t>
      </w:r>
      <w:r>
        <w:rPr>
          <w:rFonts w:hint="eastAsia" w:ascii="仿宋_GB2312" w:hAnsi="仿宋_GB2312" w:eastAsia="仿宋_GB2312" w:cs="仿宋_GB2312"/>
          <w:color w:val="000000" w:themeColor="text1"/>
          <w:sz w:val="32"/>
          <w:szCs w:val="32"/>
        </w:rPr>
        <w:t>以煤矿安全专项整治三年行动为主线，开展“百日安全保卫战”、“冬季安全保卫战”等活动，持续开展煤炭行业打非治违工作，煤矿安全生产形势持续稳定。</w:t>
      </w:r>
      <w:r>
        <w:rPr>
          <w:rFonts w:hint="eastAsia" w:ascii="仿宋_GB2312" w:eastAsia="仿宋_GB2312"/>
          <w:color w:val="000000" w:themeColor="text1"/>
          <w:spacing w:val="8"/>
          <w:sz w:val="32"/>
          <w:szCs w:val="32"/>
          <w:shd w:val="clear" w:color="auto" w:fill="FFFFFF"/>
        </w:rPr>
        <w:t>积极开展“四大”活动和安全生产专项整治三年行动，全年排查和整改各类安全隐患683条。</w:t>
      </w:r>
      <w:r>
        <w:rPr>
          <w:rFonts w:hint="eastAsia" w:ascii="仿宋_GB2312" w:eastAsia="仿宋_GB2312"/>
          <w:color w:val="000000" w:themeColor="text1"/>
          <w:sz w:val="32"/>
          <w:szCs w:val="32"/>
        </w:rPr>
        <w:t>全面抗击</w:t>
      </w:r>
      <w:r>
        <w:rPr>
          <w:rFonts w:hint="eastAsia" w:ascii="仿宋_GB2312" w:eastAsia="仿宋_GB2312"/>
          <w:color w:val="000000" w:themeColor="text1"/>
          <w:spacing w:val="8"/>
          <w:sz w:val="32"/>
          <w:szCs w:val="32"/>
          <w:shd w:val="clear" w:color="auto" w:fill="FFFFFF"/>
        </w:rPr>
        <w:t>“巴威”“美莎克”“海神”</w:t>
      </w:r>
      <w:r>
        <w:rPr>
          <w:rFonts w:hint="eastAsia" w:ascii="仿宋_GB2312" w:eastAsia="仿宋_GB2312"/>
          <w:color w:val="000000" w:themeColor="text1"/>
          <w:sz w:val="32"/>
          <w:szCs w:val="32"/>
        </w:rPr>
        <w:t>台风，建立防汛物资储备库，投入30余万元采购防汛物资，紧急转移安置人口102人，最大限度的保证了全区群众和各行各业安全度汛。</w:t>
      </w:r>
      <w:r>
        <w:rPr>
          <w:rFonts w:hint="eastAsia" w:ascii="仿宋_GB2312" w:hAnsi="仿宋_GB2312" w:eastAsia="仿宋_GB2312" w:cs="仿宋_GB2312"/>
          <w:color w:val="000000" w:themeColor="text1"/>
          <w:sz w:val="32"/>
          <w:szCs w:val="32"/>
        </w:rPr>
        <w:t>严厉打击违法犯罪行为。全年立案185起，破获案件139起，破案率75.1%；破获毒品案件5起，缴获毒品1.2公斤，扣押毒资61.7万元。坚持落实领导干部</w:t>
      </w:r>
      <w:r>
        <w:rPr>
          <w:rFonts w:hint="eastAsia" w:ascii="仿宋_GB2312" w:eastAsia="仿宋_GB2312"/>
          <w:color w:val="000000" w:themeColor="text1"/>
          <w:spacing w:val="8"/>
          <w:sz w:val="32"/>
          <w:szCs w:val="32"/>
          <w:shd w:val="clear" w:color="auto" w:fill="FFFFFF"/>
        </w:rPr>
        <w:t>“</w:t>
      </w:r>
      <w:r>
        <w:rPr>
          <w:rFonts w:ascii="仿宋_GB2312" w:eastAsia="仿宋_GB2312"/>
          <w:color w:val="000000" w:themeColor="text1"/>
          <w:spacing w:val="8"/>
          <w:sz w:val="32"/>
          <w:szCs w:val="32"/>
          <w:shd w:val="clear" w:color="auto" w:fill="FFFFFF"/>
        </w:rPr>
        <w:t>三访一包</w:t>
      </w:r>
      <w:r>
        <w:rPr>
          <w:rFonts w:hint="eastAsia" w:ascii="仿宋_GB2312" w:eastAsia="仿宋_GB2312"/>
          <w:color w:val="000000" w:themeColor="text1"/>
          <w:spacing w:val="8"/>
          <w:sz w:val="32"/>
          <w:szCs w:val="32"/>
          <w:shd w:val="clear" w:color="auto" w:fill="FFFFFF"/>
        </w:rPr>
        <w:t>”</w:t>
      </w:r>
      <w:r>
        <w:rPr>
          <w:rFonts w:ascii="仿宋_GB2312" w:eastAsia="仿宋_GB2312"/>
          <w:color w:val="000000" w:themeColor="text1"/>
          <w:spacing w:val="8"/>
          <w:sz w:val="32"/>
          <w:szCs w:val="32"/>
          <w:shd w:val="clear" w:color="auto" w:fill="FFFFFF"/>
        </w:rPr>
        <w:t>制度，</w:t>
      </w:r>
      <w:r>
        <w:rPr>
          <w:rFonts w:hint="eastAsia" w:ascii="仿宋_GB2312" w:hAnsi="仿宋_GB2312" w:eastAsia="仿宋_GB2312" w:cs="仿宋_GB2312"/>
          <w:color w:val="000000" w:themeColor="text1"/>
          <w:sz w:val="32"/>
          <w:szCs w:val="32"/>
        </w:rPr>
        <w:t>加大矛盾化解力度，进京、到省越级访分别同比下降25%和20%。</w:t>
      </w:r>
    </w:p>
    <w:p>
      <w:pPr>
        <w:pStyle w:val="2"/>
        <w:spacing w:after="0" w:line="580" w:lineRule="exact"/>
        <w:ind w:firstLine="711"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pacing w:val="17"/>
          <w:sz w:val="32"/>
          <w:szCs w:val="32"/>
        </w:rPr>
        <w:t>——切实加强政府自身建设。</w:t>
      </w:r>
      <w:r>
        <w:rPr>
          <w:rFonts w:hint="eastAsia" w:ascii="仿宋_GB2312" w:hAnsi="仿宋_GB2312" w:eastAsia="仿宋_GB2312" w:cs="仿宋_GB2312"/>
          <w:color w:val="000000" w:themeColor="text1"/>
          <w:sz w:val="32"/>
          <w:szCs w:val="32"/>
        </w:rPr>
        <w:t>坚持党对政府工作的全面领导，切实增强“四个意识”，坚定“四个自信”，坚决做到“两个维护”，以求真务实的作风，坚决把党中央决策部署落到实处。认真落实区委要求，开展“解放思想、理清思路，保目标、做贡献”大讨论活动，全面转作风、提效能。严格带头尊法学法守法用法，构建职责明确、依法行政的政府治理体系。全年累计减税降费427万元，助力市场主体纾困生存发展。严格落实中央八项规定，“三公”经费同比下降5%。自觉接受人大法律监督、工作监督和政协民主监督，办理人大代表建议、政协提案23件，办复率达100%。</w:t>
      </w:r>
    </w:p>
    <w:p>
      <w:pPr>
        <w:pStyle w:val="2"/>
        <w:spacing w:after="0" w:line="58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各位代表，过去的五年，全区干部群众拼搏奋进，各方面给予政府工作大力支持。在此，我代表区人民政府，向全区人民，向人大代表、政协委员，向各民主党派、工商联、无党派人士和人民团体，向辖区中省直单位和所有关心支持宝山发展的各界人士，向驻区解放军、公安干警和消防救援队伍，</w:t>
      </w:r>
      <w:r>
        <w:rPr>
          <w:rFonts w:hint="eastAsia" w:ascii="仿宋_GB2312" w:hAnsi="仿宋_GB2312" w:eastAsia="仿宋_GB2312" w:cs="仿宋_GB2312"/>
          <w:color w:val="000000" w:themeColor="text1"/>
          <w:sz w:val="32"/>
          <w:szCs w:val="32"/>
        </w:rPr>
        <w:t>向在我区投资兴业的企业家和各界人士，向所有关心、支持宝山建设的老领导和社会各界朋友，表示崇高的敬意和衷心的感谢！</w:t>
      </w:r>
    </w:p>
    <w:p>
      <w:pPr>
        <w:pStyle w:val="2"/>
        <w:spacing w:after="0"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肯定成绩的同时，我们也清醒地认识到，我区经济社会发展还面临不少问题。主要是发展质量和效益还不够高，长期积累的结构性矛盾比较突出，服务业发展总体滞后，资源利用率较低，全要素生产率有待提高，新的增长动力尚处于培育阶段，财政收入、居民收入增长放缓。部分企业生产经营难、融资难问题仍然突出，企业盈利水平下降、亏损面扩大。社会事业与民生领域欠账较多，基本公共服务均等化水平有待提高，生态环境问题比较突出，安全生产隐患在一些行业依然存在，社会生活中还有一些不和谐的因素，重大风险防控仍存在短板和漏洞。营商环境有待进一步改善，个别政府机关和工作人员存在“懒政”“怠政”现象，依法行政的素质和能力尚需提高。对于这些问题，我们将以对人民高度负责的态度，采取有针对性的措施，妥善加以解决。</w:t>
      </w:r>
    </w:p>
    <w:p>
      <w:pPr>
        <w:pStyle w:val="2"/>
        <w:spacing w:after="0"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二、“十四五”发展的主要思路和2021年工作安排</w:t>
      </w:r>
    </w:p>
    <w:p>
      <w:pPr>
        <w:pStyle w:val="2"/>
        <w:spacing w:after="0"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四五”时期，是我区转型发展的攻坚时期，我们要把握发展的新机遇，积极扩大对俄、日、韩等经贸合作，进一步提升对外开放水平，紧密结合加快转型推动高质量发展的实际，充分释放政策红利，加快形成新的竞争优势，区矿、区场（厂）、区林优势互补、合作共赢，补齐体制机制、经济结构、开放合作、思想观念短板，有效破解经济总量不大、发展速度不快、发展质量不高、内生动力不足的问题，实现经济提质增量。</w:t>
      </w:r>
    </w:p>
    <w:p>
      <w:pPr>
        <w:spacing w:line="580" w:lineRule="exact"/>
        <w:ind w:firstLine="640" w:firstLineChars="200"/>
        <w:rPr>
          <w:rFonts w:ascii="楷体_GB2312" w:hAnsi="楷体_GB2312" w:eastAsia="楷体_GB2312" w:cs="楷体_GB2312"/>
          <w:color w:val="000000" w:themeColor="text1"/>
          <w:sz w:val="32"/>
          <w:szCs w:val="32"/>
        </w:rPr>
      </w:pPr>
      <w:r>
        <w:rPr>
          <w:rFonts w:hint="eastAsia" w:ascii="仿宋_GB2312" w:hAnsi="仿宋_GB2312" w:eastAsia="仿宋_GB2312" w:cs="仿宋_GB2312"/>
          <w:color w:val="000000" w:themeColor="text1"/>
          <w:sz w:val="32"/>
          <w:szCs w:val="32"/>
        </w:rPr>
        <w:t>“十四五”时期全区经济社会发展的指导思想是：</w:t>
      </w:r>
      <w:r>
        <w:rPr>
          <w:rFonts w:hint="eastAsia" w:ascii="楷体_GB2312" w:hAnsi="楷体_GB2312" w:eastAsia="楷体_GB2312" w:cs="楷体_GB2312"/>
          <w:color w:val="000000" w:themeColor="text1"/>
          <w:sz w:val="32"/>
          <w:szCs w:val="32"/>
        </w:rPr>
        <w:t>高举中国特色社会主义伟大旗帜，深入贯彻党的十九大和十九届二中、三中、四中、五中全会精神，以马克思列宁主义、毛泽东思想、邓小平理论、“三个代表”重要思想、科学发展观、习近平新时代中国特色社会主义思想为指导，全面贯彻落实党的基本理论、基本路线、基本方略，统筹推进“五位一体”总体布局，协调推进“四个全面”战略布局，深入落实习近平总书记在深入推进东北振兴座谈会上的重要讲话和对我省重要讲话重要指示批示精神，坚定不移贯彻新发展理念，坚持稳中求进工作总基调，以推动高质量发展为主题，以深化供给侧结构性改革为主线，以改革创新为根本动力，以满足人民日益增长的美好生活需要为根本目的，统筹发展和安全，主动融入以国内大循环为主体、国内国际双循环相互促进的新发展格局，推进</w:t>
      </w:r>
      <w:r>
        <w:rPr>
          <w:rFonts w:hint="eastAsia" w:ascii="楷体_GB2312" w:hAnsi="楷体_GB2312" w:eastAsia="楷体_GB2312" w:cs="楷体_GB2312"/>
          <w:color w:val="000000" w:themeColor="text1"/>
          <w:sz w:val="32"/>
          <w:szCs w:val="32"/>
          <w:lang w:eastAsia="zh-CN"/>
        </w:rPr>
        <w:t>国家</w:t>
      </w:r>
      <w:bookmarkStart w:id="0" w:name="_GoBack"/>
      <w:bookmarkEnd w:id="0"/>
      <w:r>
        <w:rPr>
          <w:rFonts w:hint="eastAsia" w:ascii="楷体_GB2312" w:hAnsi="楷体_GB2312" w:eastAsia="楷体_GB2312" w:cs="楷体_GB2312"/>
          <w:color w:val="000000" w:themeColor="text1"/>
          <w:sz w:val="32"/>
          <w:szCs w:val="32"/>
        </w:rPr>
        <w:t>治理体系和治理能力现代化，坚定不移走好转型发展之路、高质量发展之路、创新发展之路、绿色发展之路、改革开放之路、重塑环境之路，走出一条质量更高、效益更好、结构更优、优势充分释放的煤炭资源型城区转型发展新路，把宝山打造成为全市煤电能源核心区、区域协作示范区、老矿区改造中心区、改革发展重点区，实现全面振兴全方位振兴新目标，为全面建设社会主义现代化宝山开好局、起好步。</w:t>
      </w:r>
    </w:p>
    <w:p>
      <w:pPr>
        <w:pStyle w:val="2"/>
        <w:spacing w:after="0" w:line="580"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“十四五”时期全区经济社会发展的主要目标是：</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——经济综合实力明显增强。</w:t>
      </w:r>
      <w:r>
        <w:rPr>
          <w:rFonts w:hint="eastAsia" w:ascii="仿宋_GB2312" w:hAnsi="仿宋_GB2312" w:eastAsia="仿宋_GB2312" w:cs="仿宋_GB2312"/>
          <w:color w:val="000000" w:themeColor="text1"/>
          <w:sz w:val="32"/>
          <w:szCs w:val="32"/>
        </w:rPr>
        <w:t>全面落实小康社会内在要求，经济社会全面发展全方位发展的格局基本形成。到2025年，努力实现地区生产总值年均增长5.5%，规模以上工业增加值年均增长6.5%，固定资产投资年均增长6%，公共财政收入年均增长6%，社会消费品零售总额年均增长6%，城镇和农村居民人均可支配收入年均增长与经济发展同步。</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——发展动能转换和经济结构调整取得重大成效。</w:t>
      </w:r>
      <w:r>
        <w:rPr>
          <w:rFonts w:hint="eastAsia" w:ascii="仿宋_GB2312" w:hAnsi="仿宋_GB2312" w:eastAsia="仿宋_GB2312" w:cs="仿宋_GB2312"/>
          <w:color w:val="000000" w:themeColor="text1"/>
          <w:sz w:val="32"/>
          <w:szCs w:val="32"/>
        </w:rPr>
        <w:t>巩固煤电工业优势，煤炭电力优质产能充分释放，大力培育新的经济增长点，接续替代产业做大做强，主导产业竞争力不断提高，新旧动能有效转换，新业态、新模式蓬勃发展，形成一批新的支柱产业。实施创新驱动和科技兴区取得成效。</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——深化改革取得实质性成果。</w:t>
      </w:r>
      <w:r>
        <w:rPr>
          <w:rFonts w:hint="eastAsia" w:ascii="仿宋_GB2312" w:hAnsi="仿宋_GB2312" w:eastAsia="仿宋_GB2312" w:cs="仿宋_GB2312"/>
          <w:color w:val="000000" w:themeColor="text1"/>
          <w:sz w:val="32"/>
          <w:szCs w:val="32"/>
        </w:rPr>
        <w:t>行政体制改革不断深化，全面接收辖区国有企业行政职能，营商环境不断优化，政府效率和效能明显提高。法治政府基本建成。供给侧结构性改革取得实质性进展。支持非公经济发展的政策机制和促进机制更加健全，发展活力持续增强。</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——生态文明建设取得显著成效。</w:t>
      </w:r>
      <w:r>
        <w:rPr>
          <w:rFonts w:hint="eastAsia" w:ascii="仿宋_GB2312" w:hAnsi="仿宋_GB2312" w:eastAsia="仿宋_GB2312" w:cs="仿宋_GB2312"/>
          <w:color w:val="000000" w:themeColor="text1"/>
          <w:sz w:val="32"/>
          <w:szCs w:val="32"/>
        </w:rPr>
        <w:t>绿色发展理念牢固确立，绿色发展方式和生活方式逐步形成，绿色生态产业快速发展，节约资源和保护环境的基本国策得到有效落实。主要污染物排放总量明显减少，空气质量明显改善，各流域水质持续改善，天然林资源得到全面保护。</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——城乡建设和管理水平不断提高。</w:t>
      </w:r>
      <w:r>
        <w:rPr>
          <w:rFonts w:hint="eastAsia" w:ascii="仿宋_GB2312" w:hAnsi="仿宋_GB2312" w:eastAsia="仿宋_GB2312" w:cs="仿宋_GB2312"/>
          <w:color w:val="000000" w:themeColor="text1"/>
          <w:sz w:val="32"/>
          <w:szCs w:val="32"/>
        </w:rPr>
        <w:t>抢抓国家和省市重大政策机遇，持续扩大有效投资，城乡基础设施现代化水平进一步提升。棚户区搬迁安置和老旧房屋改造持续推进，棚户区改造腾空土地得到科学规划合理利用。以“两新一重”为重点，5G网络建成投入使用。“三供一业”等生产生活基础设施配套建设全面完成，要素支撑能力日益提升。</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——民生保障更加有力。</w:t>
      </w:r>
      <w:r>
        <w:rPr>
          <w:rFonts w:hint="eastAsia" w:ascii="仿宋_GB2312" w:hAnsi="仿宋_GB2312" w:eastAsia="仿宋_GB2312" w:cs="仿宋_GB2312"/>
          <w:color w:val="000000" w:themeColor="text1"/>
          <w:sz w:val="32"/>
          <w:szCs w:val="32"/>
        </w:rPr>
        <w:t>新型城镇化有序推进，质量不断提升。辖区独立工矿区居民和棚户区居民向宝山一地集聚。居民收入稳定增长，就业更加充分。人民生活水平明显提高，就业、教育、文化、社保、医疗、养老、住房等公共服务体系更加健全。低收入人群的基本生活得到切实保障。</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——社会治理体系和治理能力明显提升。</w:t>
      </w:r>
      <w:r>
        <w:rPr>
          <w:rFonts w:hint="eastAsia" w:ascii="仿宋_GB2312" w:hAnsi="仿宋_GB2312" w:eastAsia="仿宋_GB2312" w:cs="仿宋_GB2312"/>
          <w:color w:val="000000" w:themeColor="text1"/>
          <w:sz w:val="32"/>
          <w:szCs w:val="32"/>
        </w:rPr>
        <w:t>落实保障国家安全使命，健全社会治理体系，加强和创新基层治理能力，建设人人有责、人人尽责、人人享有的社会治理共同体。建立健全安全生产机制，提高应急管理水平，防范化解重大风险，推进智慧化“平安宝山”建设，切实保障人民群众生命财产安全。</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——社会文明程度明显提高。</w:t>
      </w:r>
      <w:r>
        <w:rPr>
          <w:rFonts w:hint="eastAsia" w:ascii="仿宋_GB2312" w:hAnsi="仿宋_GB2312" w:eastAsia="仿宋_GB2312" w:cs="仿宋_GB2312"/>
          <w:color w:val="000000" w:themeColor="text1"/>
          <w:sz w:val="32"/>
          <w:szCs w:val="32"/>
        </w:rPr>
        <w:t>大力弘扬社会主义核心价值观，辖区居民精神气质和文明素养全面提升，</w:t>
      </w:r>
      <w:r>
        <w:rPr>
          <w:rFonts w:hint="eastAsia" w:ascii="仿宋_GB2312" w:hAnsi="仿宋_GB2312" w:eastAsia="仿宋_GB2312" w:cs="仿宋_GB2312"/>
          <w:color w:val="000000" w:themeColor="text1"/>
          <w:sz w:val="32"/>
          <w:szCs w:val="32"/>
          <w:lang w:eastAsia="zh-CN"/>
        </w:rPr>
        <w:t>铸</w:t>
      </w:r>
      <w:r>
        <w:rPr>
          <w:rFonts w:hint="eastAsia" w:ascii="仿宋_GB2312" w:hAnsi="仿宋_GB2312" w:eastAsia="仿宋_GB2312" w:cs="仿宋_GB2312"/>
          <w:color w:val="000000" w:themeColor="text1"/>
          <w:sz w:val="32"/>
          <w:szCs w:val="32"/>
        </w:rPr>
        <w:t>牢中华民族共同体意识明显提高。培育壮大文化产业发展，建设一批具有地区特色的文化产业基地，打造独具特色文化产业品牌。</w:t>
      </w:r>
    </w:p>
    <w:p>
      <w:pPr>
        <w:pStyle w:val="2"/>
        <w:spacing w:after="0"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2021年是“十四五”的开局之年，综合考虑，今年全区经济社会发展的预期目标是：地区生产总值（区属）增长6%左右；规模以上工业增加值增长6.5%；固定资产投资增长6%以上；公共财政预算收入增长6%；社会消费品零售总额增长6%；城镇和农村常住居民人均可支配收入增长与经济发展同步。</w:t>
      </w:r>
    </w:p>
    <w:p>
      <w:pPr>
        <w:pStyle w:val="2"/>
        <w:spacing w:after="0"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为实现上述目标，今年重点抓好以下工作：</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第一，抓投资拉动，推动区域经济扩容提质。</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积极推进特色农业发展。</w:t>
      </w:r>
      <w:r>
        <w:rPr>
          <w:rFonts w:hint="eastAsia" w:ascii="仿宋_GB2312" w:hAnsi="仿宋_GB2312" w:eastAsia="仿宋_GB2312" w:cs="仿宋_GB2312"/>
          <w:color w:val="000000" w:themeColor="text1"/>
          <w:sz w:val="32"/>
          <w:szCs w:val="32"/>
        </w:rPr>
        <w:t>继续优化种植结构，加大高标准农田建设，绿色有机食品认证面积稳定在12万亩，粮食产量保持在16万吨以上，食用菌稳定在150万袋。加快发展养殖业，生猪饲养量提升至4万头以上，禽类饲养量稳定在27万羽左右。深入实施乡村振兴战略，以七星镇富鑫农机有限公司、国利合作社为引领，鼓励发展种植大户和家庭农场。落实农村承包地“三权分置”制度，规模经营面积稳定在3800亩。</w:t>
      </w:r>
      <w:r>
        <w:rPr>
          <w:rFonts w:hint="eastAsia" w:ascii="仿宋_GB2312" w:hAnsi="仿宋_GB2312" w:eastAsia="仿宋_GB2312" w:cs="仿宋_GB2312"/>
          <w:b/>
          <w:bCs/>
          <w:color w:val="000000" w:themeColor="text1"/>
          <w:sz w:val="32"/>
          <w:szCs w:val="32"/>
        </w:rPr>
        <w:t>持续稳定传统工业生产。</w:t>
      </w:r>
      <w:r>
        <w:rPr>
          <w:rFonts w:hint="eastAsia" w:ascii="仿宋_GB2312" w:hAnsi="仿宋_GB2312" w:eastAsia="仿宋_GB2312" w:cs="仿宋_GB2312"/>
          <w:color w:val="000000" w:themeColor="text1"/>
          <w:sz w:val="32"/>
          <w:szCs w:val="32"/>
        </w:rPr>
        <w:t>坚持把工业强区作为经济发展的主引擎，支持双矿集团新安煤矿、东保卫煤矿和双阳煤矿提能改造项目建设，加快推进10处地方煤矿改造升级，为煤炭供应增加后续保障能力。推动煤化工产业向下游产品精深加工延伸，</w:t>
      </w:r>
      <w:r>
        <w:rPr>
          <w:rFonts w:hint="eastAsia" w:ascii="仿宋_GB2312" w:hAnsi="仿宋_GB2312" w:eastAsia="仿宋_GB2312" w:cs="仿宋_GB2312"/>
          <w:bCs/>
          <w:color w:val="000000" w:themeColor="text1"/>
          <w:sz w:val="32"/>
          <w:szCs w:val="32"/>
        </w:rPr>
        <w:t>发展煤炭气化和</w:t>
      </w:r>
      <w:r>
        <w:rPr>
          <w:rFonts w:hint="eastAsia" w:ascii="仿宋_GB2312" w:hAnsi="仿宋_GB2312" w:eastAsia="仿宋_GB2312" w:cs="仿宋_GB2312"/>
          <w:color w:val="000000" w:themeColor="text1"/>
          <w:sz w:val="32"/>
          <w:szCs w:val="32"/>
        </w:rPr>
        <w:t>硅锰合金</w:t>
      </w:r>
      <w:r>
        <w:rPr>
          <w:rFonts w:hint="eastAsia" w:ascii="仿宋_GB2312" w:hAnsi="仿宋_GB2312" w:eastAsia="仿宋_GB2312" w:cs="仿宋_GB2312"/>
          <w:bCs/>
          <w:color w:val="000000" w:themeColor="text1"/>
          <w:sz w:val="32"/>
          <w:szCs w:val="32"/>
        </w:rPr>
        <w:t>等产业，</w:t>
      </w:r>
      <w:r>
        <w:rPr>
          <w:rFonts w:hint="eastAsia" w:ascii="仿宋_GB2312" w:hAnsi="仿宋_GB2312" w:eastAsia="仿宋_GB2312" w:cs="仿宋_GB2312"/>
          <w:color w:val="000000" w:themeColor="text1"/>
          <w:sz w:val="32"/>
          <w:szCs w:val="32"/>
        </w:rPr>
        <w:t>延长煤炭产业链条。全力支持国能双鸭山发电厂技术改造。以龙头山风电项目为重点积极推进新能源产业发展。</w:t>
      </w:r>
      <w:r>
        <w:rPr>
          <w:rFonts w:hint="eastAsia" w:ascii="仿宋_GB2312" w:hAnsi="仿宋_GB2312" w:eastAsia="仿宋_GB2312" w:cs="仿宋_GB2312"/>
          <w:b/>
          <w:bCs/>
          <w:color w:val="000000" w:themeColor="text1"/>
          <w:sz w:val="32"/>
          <w:szCs w:val="32"/>
        </w:rPr>
        <w:t>加快推进现代服务业发展。</w:t>
      </w:r>
      <w:r>
        <w:rPr>
          <w:rFonts w:hint="eastAsia" w:ascii="仿宋_GB2312" w:hAnsi="仿宋_GB2312" w:eastAsia="仿宋_GB2312" w:cs="仿宋_GB2312"/>
          <w:color w:val="000000" w:themeColor="text1"/>
          <w:sz w:val="32"/>
          <w:szCs w:val="32"/>
        </w:rPr>
        <w:t>依托电子商务，</w:t>
      </w:r>
      <w:r>
        <w:rPr>
          <w:rFonts w:hint="eastAsia" w:ascii="仿宋_GB2312" w:hAnsi="仿宋_GB2312" w:eastAsia="仿宋_GB2312" w:cs="仿宋_GB2312"/>
          <w:color w:val="000000" w:themeColor="text1"/>
          <w:kern w:val="0"/>
          <w:sz w:val="32"/>
          <w:szCs w:val="32"/>
        </w:rPr>
        <w:t>加大</w:t>
      </w:r>
      <w:r>
        <w:rPr>
          <w:rFonts w:hint="eastAsia" w:ascii="仿宋_GB2312" w:hAnsi="仿宋_GB2312" w:eastAsia="仿宋_GB2312" w:cs="仿宋_GB2312"/>
          <w:color w:val="000000" w:themeColor="text1"/>
          <w:kern w:val="0"/>
          <w:sz w:val="32"/>
          <w:szCs w:val="32"/>
          <w:lang w:val="zh-CN"/>
        </w:rPr>
        <w:t>与</w:t>
      </w:r>
      <w:r>
        <w:rPr>
          <w:rFonts w:hint="eastAsia" w:ascii="仿宋_GB2312" w:hAnsi="仿宋_GB2312" w:eastAsia="仿宋_GB2312" w:cs="仿宋_GB2312"/>
          <w:color w:val="000000" w:themeColor="text1"/>
          <w:sz w:val="32"/>
          <w:szCs w:val="32"/>
        </w:rPr>
        <w:t>农垦、森工、双矿集团</w:t>
      </w:r>
      <w:r>
        <w:rPr>
          <w:rFonts w:hint="eastAsia" w:ascii="仿宋_GB2312" w:hAnsi="仿宋_GB2312" w:eastAsia="仿宋_GB2312" w:cs="仿宋_GB2312"/>
          <w:color w:val="000000" w:themeColor="text1"/>
          <w:kern w:val="0"/>
          <w:sz w:val="32"/>
          <w:szCs w:val="32"/>
          <w:lang w:val="zh-CN"/>
        </w:rPr>
        <w:t>合作力度，</w:t>
      </w:r>
      <w:r>
        <w:rPr>
          <w:rFonts w:hint="eastAsia" w:ascii="仿宋_GB2312" w:hAnsi="仿宋_GB2312" w:eastAsia="仿宋_GB2312" w:cs="仿宋_GB2312"/>
          <w:color w:val="000000" w:themeColor="text1"/>
          <w:sz w:val="32"/>
          <w:szCs w:val="32"/>
          <w:shd w:val="clear" w:color="auto" w:fill="FFFFFF"/>
        </w:rPr>
        <w:t>实现资源共享，</w:t>
      </w:r>
      <w:r>
        <w:rPr>
          <w:rFonts w:hint="eastAsia" w:ascii="仿宋_GB2312" w:hAnsi="仿宋_GB2312" w:eastAsia="仿宋_GB2312" w:cs="仿宋_GB2312"/>
          <w:color w:val="000000" w:themeColor="text1"/>
          <w:kern w:val="0"/>
          <w:sz w:val="32"/>
          <w:szCs w:val="32"/>
          <w:lang w:val="zh-CN"/>
        </w:rPr>
        <w:t>打造电子商务合作交流模式。</w:t>
      </w:r>
      <w:r>
        <w:rPr>
          <w:rFonts w:hint="eastAsia" w:ascii="仿宋_GB2312" w:hAnsi="仿宋_GB2312" w:eastAsia="仿宋_GB2312" w:cs="仿宋_GB2312"/>
          <w:bCs/>
          <w:color w:val="000000" w:themeColor="text1"/>
          <w:sz w:val="32"/>
          <w:szCs w:val="32"/>
        </w:rPr>
        <w:t>大力推进酿清谷旅游项目建设，打造区内产业新财源。</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第二，抓招商引资，促进实体经济行稳致远。</w:t>
      </w:r>
    </w:p>
    <w:p>
      <w:pPr>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sz w:val="32"/>
          <w:szCs w:val="32"/>
        </w:rPr>
        <w:t>以招商促项目生成，引领产业项目提档升级，激发区域经济发展新活力。</w:t>
      </w:r>
      <w:r>
        <w:rPr>
          <w:rFonts w:hint="eastAsia" w:ascii="仿宋_GB2312" w:hAnsi="仿宋_GB2312" w:eastAsia="仿宋_GB2312" w:cs="仿宋_GB2312"/>
          <w:b/>
          <w:color w:val="000000" w:themeColor="text1"/>
          <w:sz w:val="32"/>
          <w:szCs w:val="32"/>
        </w:rPr>
        <w:t>加快招商引资步伐。</w:t>
      </w:r>
      <w:r>
        <w:rPr>
          <w:rFonts w:hint="eastAsia" w:ascii="仿宋_GB2312" w:hAnsi="仿宋_GB2312" w:eastAsia="仿宋_GB2312" w:cs="仿宋_GB2312"/>
          <w:bCs/>
          <w:color w:val="000000" w:themeColor="text1"/>
          <w:sz w:val="32"/>
          <w:szCs w:val="32"/>
        </w:rPr>
        <w:t>坚持把招商引资作为“一号工程”，结合区情实际，紧紧围绕“六大产业”，用足、用活“黄金十条”优惠政策，</w:t>
      </w:r>
      <w:r>
        <w:rPr>
          <w:rFonts w:hint="eastAsia" w:ascii="仿宋_GB2312" w:hAnsi="仿宋_GB2312" w:eastAsia="仿宋_GB2312" w:cs="仿宋_GB2312"/>
          <w:color w:val="000000" w:themeColor="text1"/>
          <w:kern w:val="0"/>
          <w:sz w:val="32"/>
          <w:szCs w:val="32"/>
        </w:rPr>
        <w:t>活化领导带头招商、委托招商、网上招商、“小分队”招商等模式，</w:t>
      </w:r>
      <w:r>
        <w:rPr>
          <w:rFonts w:hint="eastAsia" w:ascii="仿宋_GB2312" w:hAnsi="仿宋_GB2312" w:eastAsia="仿宋_GB2312" w:cs="仿宋_GB2312"/>
          <w:color w:val="000000" w:themeColor="text1"/>
          <w:sz w:val="32"/>
          <w:szCs w:val="32"/>
          <w:shd w:val="clear" w:color="auto" w:fill="FFFFFF"/>
        </w:rPr>
        <w:t>积极参加哈洽会、</w:t>
      </w:r>
      <w:r>
        <w:rPr>
          <w:rFonts w:hint="eastAsia" w:ascii="仿宋_GB2312" w:hAnsi="仿宋_GB2312" w:eastAsia="仿宋_GB2312" w:cs="仿宋_GB2312"/>
          <w:bCs/>
          <w:color w:val="000000" w:themeColor="text1"/>
          <w:sz w:val="32"/>
          <w:szCs w:val="32"/>
        </w:rPr>
        <w:t>进博会等各类经贸活动，</w:t>
      </w:r>
      <w:r>
        <w:rPr>
          <w:rFonts w:hint="eastAsia" w:ascii="仿宋_GB2312" w:hAnsi="仿宋_GB2312" w:eastAsia="仿宋_GB2312" w:cs="仿宋_GB2312"/>
          <w:color w:val="000000" w:themeColor="text1"/>
          <w:kern w:val="0"/>
          <w:sz w:val="32"/>
          <w:szCs w:val="32"/>
        </w:rPr>
        <w:t>力争落地招商引资项目4个，利用省外资金3亿元以上。</w:t>
      </w:r>
      <w:r>
        <w:rPr>
          <w:rFonts w:hint="eastAsia" w:ascii="仿宋" w:hAnsi="仿宋" w:eastAsia="仿宋" w:cs="仿宋"/>
          <w:b/>
          <w:bCs/>
          <w:color w:val="000000" w:themeColor="text1"/>
          <w:sz w:val="32"/>
          <w:szCs w:val="32"/>
        </w:rPr>
        <w:t>扩大对外交流与合作。</w:t>
      </w:r>
      <w:r>
        <w:rPr>
          <w:rFonts w:hint="eastAsia" w:ascii="仿宋" w:hAnsi="仿宋" w:eastAsia="仿宋" w:cs="仿宋"/>
          <w:bCs/>
          <w:color w:val="000000" w:themeColor="text1"/>
          <w:sz w:val="32"/>
          <w:szCs w:val="32"/>
        </w:rPr>
        <w:t>加强与佛山市高明区的合作交流，推动深圳市、佛山市改革开放成功经验“带土移植”宝山。加快“明山广场”项目建设。借助长三角、珠三角地区先进</w:t>
      </w:r>
      <w:r>
        <w:rPr>
          <w:rFonts w:hint="eastAsia" w:ascii="仿宋_GB2312" w:hAnsi="仿宋_GB2312" w:eastAsia="仿宋_GB2312" w:cs="仿宋_GB2312"/>
          <w:color w:val="000000" w:themeColor="text1"/>
          <w:sz w:val="32"/>
          <w:szCs w:val="32"/>
        </w:rPr>
        <w:t>技术、品牌及成熟的销售渠道等优势，</w:t>
      </w:r>
      <w:r>
        <w:rPr>
          <w:rFonts w:hint="eastAsia" w:ascii="仿宋" w:hAnsi="仿宋" w:eastAsia="仿宋" w:cs="仿宋"/>
          <w:bCs/>
          <w:color w:val="000000" w:themeColor="text1"/>
          <w:sz w:val="32"/>
          <w:szCs w:val="32"/>
        </w:rPr>
        <w:t>谋划更多的合作项目落户宝山。</w:t>
      </w:r>
      <w:r>
        <w:rPr>
          <w:rFonts w:hint="eastAsia" w:ascii="仿宋" w:hAnsi="仿宋" w:eastAsia="仿宋" w:cs="仿宋"/>
          <w:b/>
          <w:color w:val="000000" w:themeColor="text1"/>
          <w:sz w:val="32"/>
          <w:szCs w:val="32"/>
        </w:rPr>
        <w:t>强化</w:t>
      </w:r>
      <w:r>
        <w:rPr>
          <w:rFonts w:hint="eastAsia" w:ascii="仿宋_GB2312" w:hAnsi="仿宋_GB2312" w:eastAsia="仿宋_GB2312" w:cs="仿宋_GB2312"/>
          <w:b/>
          <w:color w:val="000000" w:themeColor="text1"/>
          <w:sz w:val="32"/>
          <w:szCs w:val="32"/>
        </w:rPr>
        <w:t>项目建设和管理。</w:t>
      </w:r>
      <w:r>
        <w:rPr>
          <w:rFonts w:hint="eastAsia" w:ascii="仿宋_GB2312" w:hAnsi="仿宋_GB2312" w:eastAsia="仿宋_GB2312" w:cs="仿宋_GB2312"/>
          <w:color w:val="000000" w:themeColor="text1"/>
          <w:kern w:val="0"/>
          <w:sz w:val="32"/>
          <w:szCs w:val="32"/>
        </w:rPr>
        <w:t>把项目作为抓经济的龙头和基本方法，深入研究国家和省宏观政策，围绕全市七大主导产业谋划储备项目4个，全年开复工500万元以上产业项目11个，开复工省市“百大项目”1个，实现竣工投产项目占项目总数1/3以上。紧盯“四率”，增强“靠前服务、上门服务、主动服务”意识，重点推进废弃矿山环境治理、国家能源集团双鸭山发电有限公司龙头山南山风电场项目建设，确保宝运河生态环境综合整治工程年内竣工。</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第三，抓改革创新，激发高质量发展新活力。</w:t>
      </w:r>
    </w:p>
    <w:p>
      <w:pPr>
        <w:pStyle w:val="2"/>
        <w:spacing w:after="0" w:line="58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深化供给侧结构性改革。</w:t>
      </w:r>
      <w:r>
        <w:rPr>
          <w:rFonts w:hint="eastAsia" w:ascii="仿宋_GB2312" w:hAnsi="仿宋_GB2312" w:eastAsia="仿宋_GB2312" w:cs="仿宋_GB2312"/>
          <w:color w:val="000000" w:themeColor="text1"/>
          <w:sz w:val="32"/>
          <w:szCs w:val="32"/>
        </w:rPr>
        <w:t>坚持“巩固、增强、提升、畅通”八字方针，围绕“六大产业链条”、“七个新增长领域”着力推进高新技术改造提升传统产业，围绕酿清谷酒庄发展非煤替代产业和战略新兴产业。</w:t>
      </w:r>
      <w:r>
        <w:rPr>
          <w:rFonts w:hint="eastAsia" w:ascii="仿宋_GB2312" w:hAnsi="仿宋_GB2312" w:eastAsia="仿宋_GB2312" w:cs="仿宋_GB2312"/>
          <w:b/>
          <w:bCs/>
          <w:color w:val="000000" w:themeColor="text1"/>
          <w:sz w:val="32"/>
          <w:szCs w:val="32"/>
        </w:rPr>
        <w:t>深化财政管理制度改革。</w:t>
      </w:r>
      <w:r>
        <w:rPr>
          <w:rFonts w:hint="eastAsia" w:ascii="仿宋_GB2312" w:hAnsi="仿宋_GB2312" w:eastAsia="仿宋_GB2312" w:cs="仿宋_GB2312"/>
          <w:snapToGrid w:val="0"/>
          <w:color w:val="000000" w:themeColor="text1"/>
          <w:spacing w:val="6"/>
          <w:kern w:val="15"/>
          <w:sz w:val="32"/>
          <w:szCs w:val="32"/>
        </w:rPr>
        <w:t>推进预算信息公开，深化部门预算、国库集中支付、政府采购等管理制度改革，完善公务卡结算制度，</w:t>
      </w:r>
      <w:r>
        <w:rPr>
          <w:rFonts w:hint="eastAsia" w:ascii="仿宋_GB2312" w:hAnsi="仿宋_GB2312" w:eastAsia="仿宋_GB2312" w:cs="仿宋_GB2312"/>
          <w:color w:val="000000" w:themeColor="text1"/>
          <w:spacing w:val="6"/>
          <w:kern w:val="15"/>
          <w:sz w:val="32"/>
          <w:szCs w:val="32"/>
        </w:rPr>
        <w:t>探索建立公共财政向公共事业和民生工程倾斜的保障体系和机制。</w:t>
      </w:r>
      <w:r>
        <w:rPr>
          <w:rFonts w:hint="eastAsia" w:ascii="仿宋_GB2312" w:hAnsi="仿宋_GB2312" w:eastAsia="仿宋_GB2312" w:cs="仿宋_GB2312"/>
          <w:b/>
          <w:bCs/>
          <w:color w:val="000000" w:themeColor="text1"/>
          <w:spacing w:val="6"/>
          <w:kern w:val="15"/>
          <w:sz w:val="32"/>
          <w:szCs w:val="32"/>
        </w:rPr>
        <w:t>持续提升营商环境。</w:t>
      </w:r>
      <w:r>
        <w:rPr>
          <w:rFonts w:hint="eastAsia" w:ascii="仿宋" w:hAnsi="仿宋" w:eastAsia="仿宋" w:cs="仿宋"/>
          <w:color w:val="000000" w:themeColor="text1"/>
          <w:sz w:val="32"/>
          <w:szCs w:val="32"/>
        </w:rPr>
        <w:t>加大改革创新力度，</w:t>
      </w:r>
      <w:r>
        <w:rPr>
          <w:rFonts w:hint="eastAsia" w:ascii="仿宋_GB2312" w:hAnsi="仿宋_GB2312" w:eastAsia="仿宋_GB2312" w:cs="仿宋_GB2312"/>
          <w:color w:val="000000" w:themeColor="text1"/>
          <w:sz w:val="32"/>
          <w:szCs w:val="32"/>
          <w:shd w:val="clear" w:color="auto" w:fill="FFFFFF"/>
        </w:rPr>
        <w:t>深化“放管服”改革，</w:t>
      </w:r>
      <w:r>
        <w:rPr>
          <w:rFonts w:hint="eastAsia" w:ascii="仿宋_GB2312" w:hAnsi="仿宋_GB2312" w:eastAsia="仿宋_GB2312" w:cs="仿宋_GB2312"/>
          <w:color w:val="000000" w:themeColor="text1"/>
          <w:sz w:val="32"/>
          <w:szCs w:val="32"/>
        </w:rPr>
        <w:t>更大力度清理“不作为、慢作为”现象，</w:t>
      </w:r>
      <w:r>
        <w:rPr>
          <w:rFonts w:hint="eastAsia" w:ascii="仿宋_GB2312" w:hAnsi="仿宋_GB2312" w:eastAsia="仿宋_GB2312" w:cs="仿宋_GB2312"/>
          <w:color w:val="000000" w:themeColor="text1"/>
          <w:sz w:val="32"/>
          <w:szCs w:val="32"/>
          <w:shd w:val="clear" w:color="auto" w:fill="FFFFFF"/>
        </w:rPr>
        <w:t>政务服务事项一网通办率、一事通办率达到80%以上。继续推行减税降费政策，</w:t>
      </w:r>
      <w:r>
        <w:rPr>
          <w:rFonts w:hint="eastAsia" w:ascii="仿宋" w:hAnsi="仿宋" w:eastAsia="仿宋" w:cs="仿宋"/>
          <w:color w:val="000000" w:themeColor="text1"/>
          <w:sz w:val="32"/>
          <w:szCs w:val="32"/>
        </w:rPr>
        <w:t>激发市场内生动力，增强企业投资信心。</w:t>
      </w:r>
      <w:r>
        <w:rPr>
          <w:rFonts w:hint="eastAsia" w:ascii="仿宋_GB2312" w:hAnsi="仿宋_GB2312" w:eastAsia="仿宋_GB2312" w:cs="仿宋_GB2312"/>
          <w:b/>
          <w:bCs/>
          <w:color w:val="000000" w:themeColor="text1"/>
          <w:sz w:val="32"/>
          <w:szCs w:val="32"/>
        </w:rPr>
        <w:t>加强和创新基层社会治理。</w:t>
      </w:r>
      <w:r>
        <w:rPr>
          <w:rFonts w:hint="eastAsia" w:ascii="仿宋_GB2312" w:hAnsi="仿宋_GB2312" w:eastAsia="仿宋_GB2312" w:cs="仿宋_GB2312"/>
          <w:color w:val="000000" w:themeColor="text1"/>
          <w:sz w:val="32"/>
          <w:szCs w:val="32"/>
        </w:rPr>
        <w:t>坚持和完善新时代“枫桥经验”，加强城乡社区建设，强化网格化管理和服务，完善社会矛盾纠纷多元预防调处化解综合机制。推进农垦、森工改革后的人事配备、事权管理，确保审批服务更加精简便捷，服务更加精细标准。同时，持续推动医药、卫生、人才等多层次改革，不断夯实宝山经济社会发展基础。</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第四，抓基础完善，</w:t>
      </w:r>
      <w:r>
        <w:rPr>
          <w:rFonts w:ascii="楷体_GB2312" w:hAnsi="楷体_GB2312" w:eastAsia="楷体_GB2312" w:cs="楷体_GB2312"/>
          <w:b/>
          <w:bCs/>
          <w:color w:val="000000" w:themeColor="text1"/>
          <w:sz w:val="32"/>
          <w:szCs w:val="32"/>
        </w:rPr>
        <w:t>夯实高质量跨越发展基石。</w:t>
      </w:r>
    </w:p>
    <w:p>
      <w:pPr>
        <w:pStyle w:val="2"/>
        <w:spacing w:after="0" w:line="58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快速推进老旧小区改造。</w:t>
      </w:r>
      <w:r>
        <w:rPr>
          <w:rFonts w:hint="eastAsia" w:ascii="仿宋_GB2312" w:hAnsi="仿宋_GB2312" w:eastAsia="仿宋_GB2312" w:cs="仿宋_GB2312"/>
          <w:color w:val="000000" w:themeColor="text1"/>
          <w:kern w:val="0"/>
          <w:sz w:val="32"/>
          <w:szCs w:val="32"/>
        </w:rPr>
        <w:t>紧跟国家政策走向加快资金争取，</w:t>
      </w:r>
      <w:r>
        <w:rPr>
          <w:rFonts w:hint="eastAsia" w:ascii="仿宋_GB2312" w:hAnsi="仿宋_GB2312" w:eastAsia="仿宋_GB2312" w:cs="仿宋_GB2312"/>
          <w:snapToGrid w:val="0"/>
          <w:color w:val="000000" w:themeColor="text1"/>
          <w:spacing w:val="6"/>
          <w:kern w:val="15"/>
          <w:sz w:val="32"/>
          <w:szCs w:val="32"/>
        </w:rPr>
        <w:t>谋划独立工矿区搬迁改造</w:t>
      </w:r>
      <w:r>
        <w:rPr>
          <w:rFonts w:hint="eastAsia" w:ascii="仿宋_GB2312" w:hAnsi="仿宋_GB2312" w:eastAsia="仿宋_GB2312" w:cs="仿宋_GB2312"/>
          <w:color w:val="000000" w:themeColor="text1"/>
          <w:kern w:val="0"/>
          <w:sz w:val="32"/>
          <w:szCs w:val="32"/>
        </w:rPr>
        <w:t>，力争年内实施260栋老旧居民楼外墙保温和宝山一地老旧供水管网改造。</w:t>
      </w:r>
      <w:r>
        <w:rPr>
          <w:rFonts w:hint="eastAsia" w:ascii="仿宋_GB2312" w:hAnsi="仿宋_GB2312" w:eastAsia="仿宋_GB2312" w:cs="仿宋_GB2312"/>
          <w:b/>
          <w:color w:val="000000" w:themeColor="text1"/>
          <w:sz w:val="32"/>
          <w:szCs w:val="32"/>
        </w:rPr>
        <w:t>提升城市管理水平。</w:t>
      </w:r>
      <w:r>
        <w:rPr>
          <w:rFonts w:hint="eastAsia" w:ascii="仿宋_GB2312" w:hAnsi="仿宋_GB2312" w:eastAsia="仿宋_GB2312" w:cs="仿宋_GB2312"/>
          <w:color w:val="000000" w:themeColor="text1"/>
          <w:kern w:val="0"/>
          <w:sz w:val="32"/>
          <w:szCs w:val="32"/>
        </w:rPr>
        <w:t>加强城区“八乱”治理，提升城市管理精细化水平。</w:t>
      </w:r>
      <w:r>
        <w:rPr>
          <w:rFonts w:hint="eastAsia" w:ascii="仿宋_GB2312" w:hAnsi="仿宋_GB2312" w:eastAsia="仿宋_GB2312" w:cs="仿宋_GB2312"/>
          <w:color w:val="000000" w:themeColor="text1"/>
          <w:sz w:val="32"/>
          <w:szCs w:val="32"/>
        </w:rPr>
        <w:t>积极推进“三供一业”社会化运营，</w:t>
      </w:r>
      <w:r>
        <w:rPr>
          <w:rFonts w:hint="eastAsia" w:ascii="仿宋_GB2312" w:hAnsi="宋体" w:eastAsia="仿宋_GB2312"/>
          <w:color w:val="000000" w:themeColor="text1"/>
          <w:kern w:val="0"/>
          <w:sz w:val="32"/>
          <w:szCs w:val="32"/>
        </w:rPr>
        <w:t>强化“三供一业”管理，</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kern w:val="0"/>
          <w:sz w:val="32"/>
          <w:szCs w:val="32"/>
        </w:rPr>
        <w:t>群众提供优质服务。</w:t>
      </w:r>
      <w:r>
        <w:rPr>
          <w:rFonts w:hint="eastAsia" w:ascii="仿宋_GB2312" w:hAnsi="仿宋_GB2312" w:eastAsia="仿宋_GB2312" w:cs="仿宋_GB2312"/>
          <w:b/>
          <w:bCs/>
          <w:color w:val="000000" w:themeColor="text1"/>
          <w:kern w:val="0"/>
          <w:sz w:val="32"/>
          <w:szCs w:val="32"/>
        </w:rPr>
        <w:t>加快基础设施建设。</w:t>
      </w:r>
      <w:r>
        <w:rPr>
          <w:rFonts w:hint="eastAsia" w:ascii="仿宋_GB2312" w:hAnsi="仿宋_GB2312" w:eastAsia="仿宋_GB2312" w:cs="仿宋_GB2312"/>
          <w:color w:val="000000" w:themeColor="text1"/>
          <w:kern w:val="0"/>
          <w:sz w:val="32"/>
          <w:szCs w:val="32"/>
        </w:rPr>
        <w:t>强化各类市政设施管理，加强休闲广场、花坛绿地、健身器材等设施建设和维护，11人制足球场开工建设，确保司法办公用房投入使用。</w:t>
      </w:r>
      <w:r>
        <w:rPr>
          <w:rFonts w:hint="eastAsia" w:ascii="仿宋" w:hAnsi="仿宋" w:eastAsia="仿宋" w:cs="仿宋"/>
          <w:color w:val="000000" w:themeColor="text1"/>
          <w:spacing w:val="6"/>
          <w:kern w:val="15"/>
          <w:sz w:val="32"/>
          <w:szCs w:val="32"/>
        </w:rPr>
        <w:t>做好棚户区改造、沉陷区治理配套工程。</w:t>
      </w:r>
      <w:r>
        <w:rPr>
          <w:rFonts w:hint="eastAsia" w:ascii="仿宋_GB2312" w:hAnsi="仿宋_GB2312" w:eastAsia="仿宋_GB2312" w:cs="仿宋_GB2312"/>
          <w:color w:val="000000" w:themeColor="text1"/>
          <w:sz w:val="32"/>
          <w:szCs w:val="32"/>
        </w:rPr>
        <w:t>全面启动生活垃圾分类治理工作。实施城区三线混搭、亮化、路灯线网改造，开展广场、道路维护维修行动。</w:t>
      </w:r>
      <w:r>
        <w:rPr>
          <w:rFonts w:hint="eastAsia" w:ascii="仿宋_GB2312" w:hAnsi="仿宋_GB2312" w:eastAsia="仿宋_GB2312" w:cs="仿宋_GB2312"/>
          <w:b/>
          <w:color w:val="000000" w:themeColor="text1"/>
          <w:sz w:val="32"/>
          <w:szCs w:val="32"/>
        </w:rPr>
        <w:t>持续改善农村人居环境。</w:t>
      </w:r>
      <w:r>
        <w:rPr>
          <w:rFonts w:hint="eastAsia" w:ascii="仿宋_GB2312" w:hAnsi="仿宋_GB2312" w:eastAsia="仿宋_GB2312" w:cs="仿宋_GB2312"/>
          <w:bCs/>
          <w:color w:val="000000" w:themeColor="text1"/>
          <w:sz w:val="32"/>
          <w:szCs w:val="32"/>
        </w:rPr>
        <w:t>努力巩固环境治理成果</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bCs/>
          <w:color w:val="000000" w:themeColor="text1"/>
          <w:sz w:val="32"/>
          <w:szCs w:val="32"/>
        </w:rPr>
        <w:t>继续实施“厕所革命”和室内厕所改造，</w:t>
      </w:r>
      <w:r>
        <w:rPr>
          <w:rFonts w:hint="eastAsia" w:ascii="仿宋_GB2312" w:hAnsi="仿宋_GB2312" w:eastAsia="仿宋_GB2312" w:cs="仿宋_GB2312"/>
          <w:color w:val="000000" w:themeColor="text1"/>
          <w:sz w:val="32"/>
          <w:szCs w:val="32"/>
        </w:rPr>
        <w:t>实施农村生活污水治理，有效解决农村污水、垃圾、畜禽养殖污染等突出问题，改造农村厕所35户以上。</w:t>
      </w:r>
      <w:r>
        <w:rPr>
          <w:rFonts w:hint="eastAsia" w:ascii="仿宋_GB2312" w:hAnsi="仿宋_GB2312" w:eastAsia="仿宋_GB2312" w:cs="仿宋_GB2312"/>
          <w:b/>
          <w:color w:val="000000" w:themeColor="text1"/>
          <w:sz w:val="32"/>
          <w:szCs w:val="32"/>
        </w:rPr>
        <w:t>加强生态环境治理。</w:t>
      </w:r>
      <w:r>
        <w:rPr>
          <w:rFonts w:hint="eastAsia" w:ascii="仿宋_GB2312" w:hAnsi="仿宋_GB2312" w:eastAsia="仿宋_GB2312" w:cs="仿宋_GB2312"/>
          <w:color w:val="000000" w:themeColor="text1"/>
          <w:sz w:val="32"/>
          <w:szCs w:val="32"/>
        </w:rPr>
        <w:t>以解决突出生态环境问题为重点，推进散煤专项整治三年行动，完成“散乱污”集中整治。进一步加强对秸秆禁烧工作的监管力度，推进秸秆禁烧，提高“五化”利用率，秸秆综合利用率达到90%以上。强化河湖长制，加大域内七星河、扁石河治理力度，持续开展河湖“清四乱”、“亮剑护河”专项行动。加强黑土地保护，提高固体废物及危险废物的监督管理能力，严格控制农业面源污染。提倡节约用水，完成宝山区节水型社会建设。</w:t>
      </w:r>
    </w:p>
    <w:p>
      <w:pPr>
        <w:spacing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第五，抓民生保障，持续增强群众幸福感获得感。</w:t>
      </w:r>
    </w:p>
    <w:p>
      <w:pPr>
        <w:spacing w:line="580" w:lineRule="exact"/>
        <w:ind w:firstLine="643"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抓好疫情防控工作。</w:t>
      </w:r>
      <w:r>
        <w:rPr>
          <w:rFonts w:hint="eastAsia" w:ascii="仿宋_GB2312" w:hAnsi="仿宋_GB2312" w:eastAsia="仿宋_GB2312" w:cs="仿宋_GB2312"/>
          <w:color w:val="000000" w:themeColor="text1"/>
          <w:kern w:val="0"/>
          <w:sz w:val="32"/>
          <w:szCs w:val="32"/>
        </w:rPr>
        <w:t>严格落实疫情防控常态化机制，全力做好冬春季新冠肺炎和流感防控，巩固和保持我区取得的抗疫成果。</w:t>
      </w:r>
      <w:r>
        <w:rPr>
          <w:rFonts w:hint="eastAsia" w:ascii="仿宋_GB2312" w:hAnsi="仿宋_GB2312" w:eastAsia="仿宋_GB2312" w:cs="仿宋_GB2312"/>
          <w:b/>
          <w:color w:val="000000" w:themeColor="text1"/>
          <w:sz w:val="32"/>
          <w:szCs w:val="32"/>
        </w:rPr>
        <w:t>全力稳定扩大就业。</w:t>
      </w:r>
      <w:r>
        <w:rPr>
          <w:rFonts w:hint="eastAsia" w:ascii="仿宋_GB2312" w:hAnsi="仿宋_GB2312" w:eastAsia="仿宋_GB2312" w:cs="仿宋_GB2312"/>
          <w:bCs/>
          <w:color w:val="000000" w:themeColor="text1"/>
          <w:sz w:val="32"/>
          <w:szCs w:val="32"/>
        </w:rPr>
        <w:t>全面落实中央、省市就业创业政策，加快宝山电商众创空间建设，</w:t>
      </w:r>
      <w:r>
        <w:rPr>
          <w:rStyle w:val="21"/>
          <w:rFonts w:hint="eastAsia" w:ascii="仿宋_GB2312" w:hAnsi="仿宋_GB2312" w:eastAsia="仿宋_GB2312" w:cs="仿宋_GB2312"/>
          <w:color w:val="000000" w:themeColor="text1"/>
          <w:sz w:val="32"/>
          <w:szCs w:val="32"/>
        </w:rPr>
        <w:t>利用线上</w:t>
      </w:r>
      <w:r>
        <w:rPr>
          <w:rFonts w:hint="eastAsia" w:ascii="仿宋_GB2312" w:hAnsi="仿宋_GB2312" w:eastAsia="仿宋_GB2312" w:cs="仿宋_GB2312"/>
          <w:color w:val="000000" w:themeColor="text1"/>
          <w:sz w:val="32"/>
          <w:szCs w:val="32"/>
        </w:rPr>
        <w:t>线下就业援助和培训活动开展公共就业专项服务安置就业。</w:t>
      </w:r>
      <w:r>
        <w:rPr>
          <w:rFonts w:hint="eastAsia" w:ascii="仿宋_GB2312" w:hAnsi="仿宋_GB2312" w:eastAsia="仿宋_GB2312" w:cs="仿宋_GB2312"/>
          <w:bCs/>
          <w:color w:val="000000" w:themeColor="text1"/>
          <w:sz w:val="32"/>
          <w:szCs w:val="32"/>
        </w:rPr>
        <w:t>重点抓好高校毕业生、农民工、双矿转岗人员、退役军人等群体就业创业，实现城镇新增就业2000人、创业200人、转移农村劳动力600人。</w:t>
      </w:r>
      <w:r>
        <w:rPr>
          <w:rFonts w:hint="eastAsia" w:ascii="仿宋_GB2312" w:hAnsi="仿宋_GB2312" w:eastAsia="仿宋_GB2312" w:cs="仿宋_GB2312"/>
          <w:b/>
          <w:color w:val="000000" w:themeColor="text1"/>
          <w:sz w:val="32"/>
          <w:szCs w:val="32"/>
        </w:rPr>
        <w:t>坚持教育优先发展。</w:t>
      </w:r>
      <w:r>
        <w:rPr>
          <w:rFonts w:hint="eastAsia" w:ascii="仿宋_GB2312" w:hAnsi="仿宋_GB2312" w:eastAsia="仿宋_GB2312" w:cs="仿宋_GB2312"/>
          <w:color w:val="000000" w:themeColor="text1"/>
          <w:sz w:val="32"/>
          <w:szCs w:val="32"/>
        </w:rPr>
        <w:t>深入推进义务教育优质均衡发展，落实中小学教师“十百千”工程和省“国培”计划，加快“双师型”教师队伍建设。严肃整治教育“三乱”现象。继续扶持民办普惠性幼儿园发展，提升保教水平确保办园质量。</w:t>
      </w:r>
      <w:r>
        <w:rPr>
          <w:rFonts w:hint="eastAsia" w:ascii="仿宋_GB2312" w:hAnsi="仿宋_GB2312" w:eastAsia="仿宋_GB2312" w:cs="仿宋_GB2312"/>
          <w:b/>
          <w:color w:val="000000" w:themeColor="text1"/>
          <w:sz w:val="32"/>
          <w:szCs w:val="32"/>
        </w:rPr>
        <w:t>努力提升社会保障水平。</w:t>
      </w:r>
      <w:r>
        <w:rPr>
          <w:rFonts w:hint="eastAsia" w:ascii="仿宋_GB2312" w:hAnsi="仿宋_GB2312" w:eastAsia="仿宋_GB2312" w:cs="仿宋_GB2312"/>
          <w:color w:val="000000" w:themeColor="text1"/>
          <w:sz w:val="32"/>
          <w:szCs w:val="32"/>
        </w:rPr>
        <w:t>全面梳理国家省市医保各项政策，推进深化医保支付方式改革，提高居民医疗保险待遇标准，2021年城乡居民大病保险最高支付限额由30万元提高至50万元</w:t>
      </w:r>
      <w:r>
        <w:rPr>
          <w:rStyle w:val="21"/>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推动健康宝山建设。</w:t>
      </w:r>
      <w:r>
        <w:rPr>
          <w:rFonts w:hint="eastAsia" w:ascii="仿宋_GB2312" w:hAnsi="仿宋_GB2312" w:eastAsia="仿宋_GB2312" w:cs="仿宋_GB2312"/>
          <w:bCs/>
          <w:color w:val="000000" w:themeColor="text1"/>
          <w:sz w:val="32"/>
          <w:szCs w:val="32"/>
        </w:rPr>
        <w:t>加强医疗设备升级完善，加快发热门诊建设，提升辖区医疗机构基本医疗和公共卫生服务能力。加速推进宝山疾控中心建设，</w:t>
      </w:r>
      <w:r>
        <w:rPr>
          <w:rFonts w:hint="eastAsia" w:ascii="仿宋_GB2312" w:hAnsi="仿宋_GB2312" w:eastAsia="仿宋_GB2312" w:cs="仿宋_GB2312"/>
          <w:color w:val="000000" w:themeColor="text1"/>
          <w:sz w:val="32"/>
          <w:szCs w:val="32"/>
        </w:rPr>
        <w:t>建立健全疫情防控网络体系，</w:t>
      </w:r>
      <w:r>
        <w:rPr>
          <w:rFonts w:hint="eastAsia" w:ascii="仿宋_GB2312" w:hAnsi="仿宋_GB2312" w:eastAsia="仿宋_GB2312" w:cs="仿宋_GB2312"/>
          <w:bCs/>
          <w:color w:val="000000" w:themeColor="text1"/>
          <w:sz w:val="32"/>
          <w:szCs w:val="32"/>
        </w:rPr>
        <w:t>提高</w:t>
      </w:r>
      <w:r>
        <w:rPr>
          <w:rFonts w:hint="eastAsia" w:ascii="仿宋_GB2312" w:hAnsi="仿宋_GB2312" w:eastAsia="仿宋_GB2312" w:cs="仿宋_GB2312"/>
          <w:color w:val="000000" w:themeColor="text1"/>
          <w:sz w:val="32"/>
          <w:szCs w:val="32"/>
        </w:rPr>
        <w:t>重大疾病防治和</w:t>
      </w:r>
      <w:r>
        <w:rPr>
          <w:rFonts w:hint="eastAsia" w:ascii="仿宋_GB2312" w:hAnsi="仿宋_GB2312" w:eastAsia="仿宋_GB2312" w:cs="仿宋_GB2312"/>
          <w:color w:val="000000" w:themeColor="text1"/>
          <w:kern w:val="0"/>
          <w:sz w:val="32"/>
          <w:szCs w:val="32"/>
        </w:rPr>
        <w:t>重大疫情防控处置能力。</w:t>
      </w:r>
      <w:r>
        <w:rPr>
          <w:rFonts w:hint="eastAsia" w:ascii="仿宋_GB2312" w:hAnsi="仿宋_GB2312" w:eastAsia="仿宋_GB2312" w:cs="仿宋_GB2312"/>
          <w:color w:val="000000" w:themeColor="text1"/>
          <w:sz w:val="32"/>
          <w:szCs w:val="32"/>
        </w:rPr>
        <w:t>贯彻落实“四个最严”要求，全面筑牢食品药品安全防线。</w:t>
      </w:r>
      <w:r>
        <w:rPr>
          <w:rFonts w:hint="eastAsia" w:ascii="仿宋_GB2312" w:hAnsi="仿宋_GB2312" w:eastAsia="仿宋_GB2312" w:cs="仿宋_GB2312"/>
          <w:b/>
          <w:color w:val="000000" w:themeColor="text1"/>
          <w:sz w:val="32"/>
          <w:szCs w:val="32"/>
        </w:rPr>
        <w:t>促进文体事业持续繁荣。</w:t>
      </w:r>
      <w:r>
        <w:rPr>
          <w:rFonts w:hint="eastAsia" w:ascii="仿宋_GB2312" w:hAnsi="仿宋_GB2312" w:eastAsia="仿宋_GB2312" w:cs="仿宋_GB2312"/>
          <w:color w:val="000000" w:themeColor="text1"/>
          <w:sz w:val="32"/>
          <w:szCs w:val="32"/>
        </w:rPr>
        <w:t>继续推进全民健身计划，提高全民健身组织化程度，</w:t>
      </w:r>
      <w:r>
        <w:rPr>
          <w:rFonts w:hint="eastAsia" w:ascii="仿宋_GB2312" w:hAnsi="仿宋_GB2312" w:eastAsia="仿宋_GB2312" w:cs="仿宋_GB2312"/>
          <w:color w:val="000000" w:themeColor="text1"/>
          <w:kern w:val="0"/>
          <w:sz w:val="32"/>
          <w:szCs w:val="32"/>
        </w:rPr>
        <w:t>完善社区文化中心和村屯文化活动室建设，开展丰富多彩的文化活动。</w:t>
      </w:r>
      <w:r>
        <w:rPr>
          <w:rFonts w:hint="eastAsia" w:ascii="仿宋_GB2312" w:hAnsi="仿宋_GB2312" w:eastAsia="仿宋_GB2312" w:cs="仿宋_GB2312"/>
          <w:color w:val="000000" w:themeColor="text1"/>
          <w:sz w:val="32"/>
          <w:szCs w:val="32"/>
        </w:rPr>
        <w:t>发展</w:t>
      </w:r>
      <w:r>
        <w:rPr>
          <w:rFonts w:hint="eastAsia" w:ascii="仿宋_GB2312" w:hAnsi="仿宋_GB2312" w:eastAsia="仿宋_GB2312" w:cs="仿宋_GB2312"/>
          <w:bCs/>
          <w:color w:val="000000" w:themeColor="text1"/>
          <w:sz w:val="32"/>
          <w:szCs w:val="32"/>
        </w:rPr>
        <w:t>校园足球、国防教育等特色教育，</w:t>
      </w:r>
      <w:r>
        <w:rPr>
          <w:rFonts w:hint="eastAsia" w:ascii="仿宋_GB2312" w:hAnsi="仿宋_GB2312" w:eastAsia="仿宋_GB2312" w:cs="仿宋_GB2312"/>
          <w:color w:val="000000" w:themeColor="text1"/>
          <w:sz w:val="32"/>
          <w:szCs w:val="32"/>
        </w:rPr>
        <w:t>深入推进“三大球”和冰雪运动项目进校园。</w:t>
      </w:r>
      <w:r>
        <w:rPr>
          <w:rFonts w:hint="eastAsia" w:ascii="仿宋_GB2312" w:hAnsi="仿宋_GB2312" w:eastAsia="仿宋_GB2312" w:cs="仿宋_GB2312"/>
          <w:color w:val="000000" w:themeColor="text1"/>
          <w:kern w:val="0"/>
          <w:sz w:val="32"/>
          <w:szCs w:val="32"/>
        </w:rPr>
        <w:t>推进文体新闻工作创新发展，强化互联网媒体和传统媒体的融合运用。</w:t>
      </w:r>
      <w:r>
        <w:rPr>
          <w:rFonts w:hint="eastAsia" w:ascii="仿宋_GB2312" w:hAnsi="仿宋_GB2312" w:eastAsia="仿宋_GB2312" w:cs="仿宋_GB2312"/>
          <w:color w:val="000000" w:themeColor="text1"/>
          <w:sz w:val="32"/>
          <w:szCs w:val="32"/>
        </w:rPr>
        <w:t>深入实施文化惠民工程，组织庆祝建党100周年系列活动。完成宝山区仁和遗址保护规划终审和备案。</w:t>
      </w:r>
      <w:r>
        <w:rPr>
          <w:rFonts w:hint="eastAsia" w:ascii="仿宋_GB2312" w:hAnsi="仿宋_GB2312" w:eastAsia="仿宋_GB2312" w:cs="仿宋_GB2312"/>
          <w:color w:val="000000" w:themeColor="text1"/>
          <w:kern w:val="0"/>
          <w:sz w:val="32"/>
          <w:szCs w:val="32"/>
        </w:rPr>
        <w:t>统筹做好民族宗教、妇女儿童、老龄和残疾人等各方面工作。</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第六，抓社会治理，深入推进平安宝山建设。</w:t>
      </w:r>
    </w:p>
    <w:p>
      <w:pPr>
        <w:spacing w:line="580" w:lineRule="exact"/>
        <w:ind w:firstLine="643"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
          <w:color w:val="000000" w:themeColor="text1"/>
          <w:sz w:val="32"/>
          <w:szCs w:val="32"/>
        </w:rPr>
        <w:t>突出抓好安全生产工作。</w:t>
      </w:r>
      <w:r>
        <w:rPr>
          <w:rFonts w:hint="eastAsia" w:ascii="仿宋_GB2312" w:hAnsi="仿宋_GB2312" w:eastAsia="仿宋_GB2312" w:cs="仿宋_GB2312"/>
          <w:bCs/>
          <w:color w:val="000000" w:themeColor="text1"/>
          <w:sz w:val="32"/>
          <w:szCs w:val="32"/>
        </w:rPr>
        <w:t>严格落实安全生产部门监管和企业主体责任，深入开展</w:t>
      </w:r>
      <w:r>
        <w:rPr>
          <w:rFonts w:hint="eastAsia" w:ascii="仿宋_GB2312" w:hAnsi="仿宋_GB2312" w:eastAsia="仿宋_GB2312" w:cs="仿宋_GB2312"/>
          <w:bCs/>
          <w:color w:val="000000" w:themeColor="text1"/>
          <w:kern w:val="0"/>
          <w:sz w:val="32"/>
          <w:szCs w:val="32"/>
        </w:rPr>
        <w:t>安全生产专项</w:t>
      </w:r>
      <w:r>
        <w:rPr>
          <w:rFonts w:hint="eastAsia" w:ascii="仿宋_GB2312" w:hAnsi="仿宋_GB2312" w:eastAsia="仿宋_GB2312" w:cs="仿宋_GB2312"/>
          <w:color w:val="000000" w:themeColor="text1"/>
          <w:kern w:val="0"/>
          <w:sz w:val="32"/>
          <w:szCs w:val="32"/>
        </w:rPr>
        <w:t>整治三年行动，组织各类应急演练，开展安全隐患大排查、大整治行动，加强市场、学校、养老院等人员密集场所的安全管控，提高防灾、减灾、抗灾、救灾能力，坚决遏制安全生产事故发生。</w:t>
      </w:r>
      <w:r>
        <w:rPr>
          <w:rFonts w:hint="eastAsia" w:ascii="仿宋_GB2312" w:hAnsi="仿宋_GB2312" w:eastAsia="仿宋_GB2312" w:cs="仿宋_GB2312"/>
          <w:color w:val="000000" w:themeColor="text1"/>
          <w:sz w:val="32"/>
          <w:szCs w:val="32"/>
        </w:rPr>
        <w:t>加强六类场所消防安全管控。完善消防安全基础设施建设。持续推进打通消防生命通道活动有效治理和规范老旧小区停车场。</w:t>
      </w:r>
      <w:r>
        <w:rPr>
          <w:rFonts w:hint="eastAsia" w:ascii="仿宋_GB2312" w:hAnsi="仿宋_GB2312" w:eastAsia="仿宋_GB2312" w:cs="仿宋_GB2312"/>
          <w:b/>
          <w:color w:val="000000" w:themeColor="text1"/>
          <w:sz w:val="32"/>
          <w:szCs w:val="32"/>
        </w:rPr>
        <w:t>提高社会管理综合治理水平。</w:t>
      </w:r>
      <w:r>
        <w:rPr>
          <w:rFonts w:hint="eastAsia" w:ascii="仿宋_GB2312" w:hAnsi="仿宋_GB2312" w:eastAsia="仿宋_GB2312" w:cs="仿宋_GB2312"/>
          <w:bCs/>
          <w:color w:val="000000" w:themeColor="text1"/>
          <w:sz w:val="32"/>
          <w:szCs w:val="32"/>
        </w:rPr>
        <w:t>严厉打击各类违法犯罪活动，巩固扫黑除恶专项斗争成果，重点整治非法制贩、私藏枪支弹药和爆炸物品、管制刀具、剧毒化学品、放射性物品等突出问题。</w:t>
      </w:r>
      <w:r>
        <w:rPr>
          <w:rFonts w:hint="eastAsia" w:ascii="仿宋_GB2312" w:hAnsi="仿宋_GB2312" w:eastAsia="仿宋_GB2312" w:cs="仿宋_GB2312"/>
          <w:b/>
          <w:color w:val="000000" w:themeColor="text1"/>
          <w:sz w:val="32"/>
          <w:szCs w:val="32"/>
        </w:rPr>
        <w:t>着力抓好信访稳定。</w:t>
      </w:r>
      <w:r>
        <w:rPr>
          <w:rFonts w:hint="eastAsia" w:ascii="仿宋_GB2312" w:hAnsi="仿宋_GB2312" w:eastAsia="仿宋_GB2312" w:cs="仿宋_GB2312"/>
          <w:color w:val="000000" w:themeColor="text1"/>
          <w:kern w:val="0"/>
          <w:sz w:val="32"/>
          <w:szCs w:val="32"/>
        </w:rPr>
        <w:t>严格落实</w:t>
      </w:r>
      <w:r>
        <w:rPr>
          <w:rFonts w:hint="eastAsia" w:ascii="仿宋_GB2312" w:hAnsi="仿宋_GB2312" w:eastAsia="仿宋_GB2312" w:cs="仿宋_GB2312"/>
          <w:color w:val="000000" w:themeColor="text1"/>
          <w:sz w:val="32"/>
          <w:szCs w:val="32"/>
        </w:rPr>
        <w:t>信访工作“首问责任制”、“三访一包”工作机制，</w:t>
      </w:r>
      <w:r>
        <w:rPr>
          <w:rFonts w:hint="eastAsia" w:ascii="仿宋_GB2312" w:hAnsi="仿宋_GB2312" w:eastAsia="仿宋_GB2312" w:cs="仿宋_GB2312"/>
          <w:color w:val="000000" w:themeColor="text1"/>
          <w:kern w:val="0"/>
          <w:sz w:val="32"/>
          <w:szCs w:val="32"/>
        </w:rPr>
        <w:t>加大基层初访解决力度，及时有效把矛盾化解在基层，把问题解决在一线。</w:t>
      </w:r>
    </w:p>
    <w:p>
      <w:pPr>
        <w:pStyle w:val="2"/>
        <w:spacing w:after="0" w:line="58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第七，抓自身建设，确保“十四五”良好开局。</w:t>
      </w:r>
    </w:p>
    <w:p>
      <w:pPr>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按照依法行政的要求，狠抓政府自身建设，确保完成全面任务目标。</w:t>
      </w:r>
      <w:r>
        <w:rPr>
          <w:rFonts w:hint="eastAsia" w:ascii="仿宋_GB2312" w:hAnsi="仿宋_GB2312" w:eastAsia="仿宋_GB2312" w:cs="仿宋_GB2312"/>
          <w:b/>
          <w:color w:val="000000" w:themeColor="text1"/>
          <w:sz w:val="32"/>
          <w:szCs w:val="32"/>
        </w:rPr>
        <w:t>加强政治建设践行初心使命。</w:t>
      </w:r>
      <w:r>
        <w:rPr>
          <w:rFonts w:hint="eastAsia" w:ascii="仿宋_GB2312" w:hAnsi="仿宋_GB2312" w:eastAsia="仿宋_GB2312" w:cs="仿宋_GB2312"/>
          <w:color w:val="000000" w:themeColor="text1"/>
          <w:kern w:val="0"/>
          <w:sz w:val="32"/>
          <w:szCs w:val="32"/>
        </w:rPr>
        <w:t>巩固扩大“不忘初心</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牢记使命”主题教育成果，加强政府班子和干部队伍理论武装、知识更新和能力培养。切实提高党员领导干部“七种能力”。充分用好微信、政府门户网站等载体和平台，健全政府信息发布和办事公开制度，自觉接受社会舆论监督。</w:t>
      </w:r>
      <w:r>
        <w:rPr>
          <w:rFonts w:hint="eastAsia" w:ascii="仿宋_GB2312" w:hAnsi="仿宋_GB2312" w:eastAsia="仿宋_GB2312" w:cs="仿宋_GB2312"/>
          <w:b/>
          <w:color w:val="000000" w:themeColor="text1"/>
          <w:sz w:val="32"/>
          <w:szCs w:val="32"/>
        </w:rPr>
        <w:t>加强法制建设</w:t>
      </w:r>
      <w:r>
        <w:rPr>
          <w:rFonts w:hint="eastAsia" w:ascii="仿宋_GB2312" w:hAnsi="仿宋_GB2312" w:eastAsia="仿宋_GB2312" w:cs="仿宋_GB2312"/>
          <w:b/>
          <w:bCs/>
          <w:color w:val="000000" w:themeColor="text1"/>
          <w:kern w:val="0"/>
          <w:sz w:val="32"/>
          <w:szCs w:val="32"/>
        </w:rPr>
        <w:t>提升</w:t>
      </w:r>
      <w:r>
        <w:rPr>
          <w:rFonts w:hint="eastAsia" w:ascii="仿宋_GB2312" w:hAnsi="仿宋_GB2312" w:eastAsia="仿宋_GB2312" w:cs="仿宋_GB2312"/>
          <w:b/>
          <w:color w:val="000000" w:themeColor="text1"/>
          <w:sz w:val="32"/>
          <w:szCs w:val="32"/>
        </w:rPr>
        <w:t>治理效能。</w:t>
      </w:r>
      <w:r>
        <w:rPr>
          <w:rFonts w:hint="eastAsia" w:ascii="仿宋_GB2312" w:hAnsi="仿宋_GB2312" w:eastAsia="仿宋_GB2312" w:cs="仿宋_GB2312"/>
          <w:color w:val="000000" w:themeColor="text1"/>
          <w:kern w:val="0"/>
          <w:sz w:val="32"/>
          <w:szCs w:val="32"/>
        </w:rPr>
        <w:t>秉持法治理念，</w:t>
      </w:r>
      <w:r>
        <w:rPr>
          <w:rFonts w:hint="eastAsia" w:ascii="仿宋_GB2312" w:hAnsi="仿宋_GB2312" w:eastAsia="仿宋_GB2312" w:cs="仿宋_GB2312"/>
          <w:color w:val="000000" w:themeColor="text1"/>
          <w:sz w:val="32"/>
          <w:szCs w:val="32"/>
        </w:rPr>
        <w:t>抓好“八五”普法规划的制定和组织实施</w:t>
      </w:r>
      <w:r>
        <w:rPr>
          <w:rFonts w:hint="eastAsia" w:ascii="仿宋_GB2312" w:hAnsi="仿宋_GB2312" w:eastAsia="仿宋_GB2312" w:cs="仿宋_GB2312"/>
          <w:color w:val="000000" w:themeColor="text1"/>
          <w:kern w:val="0"/>
          <w:sz w:val="32"/>
          <w:szCs w:val="32"/>
        </w:rPr>
        <w:t>。自觉接受人大及其常委会法律监督工作监督、政协民主监督、监察监督和人民监督。</w:t>
      </w:r>
      <w:r>
        <w:rPr>
          <w:rFonts w:hint="eastAsia" w:ascii="仿宋_GB2312" w:hAnsi="仿宋_GB2312" w:eastAsia="仿宋_GB2312" w:cs="仿宋_GB2312"/>
          <w:b/>
          <w:bCs/>
          <w:color w:val="000000" w:themeColor="text1"/>
          <w:kern w:val="0"/>
          <w:sz w:val="32"/>
          <w:szCs w:val="32"/>
        </w:rPr>
        <w:t>加强能力建设强化担当作为</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kern w:val="0"/>
          <w:sz w:val="32"/>
          <w:szCs w:val="32"/>
        </w:rPr>
        <w:t>树立正确的政绩观,深入基层开展调研和“走流程”活动,全面提高政府领导干部适应新时代新要求抓改革、促发展、保稳定水平和专业化能力。建立完善敢担当善作为的干部奖励制度，“让实干者实惠”的激励机制将与“为担当者担当”的保障机制相辅相成，共同构成一个完整的促进干部“想干事、敢干事”的制度体系。</w:t>
      </w:r>
      <w:r>
        <w:rPr>
          <w:rFonts w:hint="eastAsia" w:ascii="仿宋_GB2312" w:hAnsi="仿宋_GB2312" w:eastAsia="仿宋_GB2312" w:cs="仿宋_GB2312"/>
          <w:b/>
          <w:bCs/>
          <w:color w:val="000000" w:themeColor="text1"/>
          <w:kern w:val="0"/>
          <w:sz w:val="32"/>
          <w:szCs w:val="32"/>
        </w:rPr>
        <w:t>加强作风建设持续反腐倡廉。</w:t>
      </w:r>
      <w:r>
        <w:rPr>
          <w:rFonts w:hint="eastAsia" w:ascii="仿宋_GB2312" w:hAnsi="仿宋_GB2312" w:eastAsia="仿宋_GB2312" w:cs="仿宋_GB2312"/>
          <w:color w:val="000000" w:themeColor="text1"/>
          <w:kern w:val="0"/>
          <w:sz w:val="32"/>
          <w:szCs w:val="32"/>
        </w:rPr>
        <w:t>树立政府过紧日子的思想，继续压缩“三公经费”，厉行节约。深入推进政府系统反腐倡廉体系建设，强化干部廉政教育，严格履行“一岗双责”，严守《准则》和《条例》。深化廉政风险防控，推进公共资金、国有资产、重大项目和领导干部履行经济责任情况审计全覆盖。加大“四风”整治和治庸治懒治怠问责力度，对失职、渎职、以权谋私和与民争利的行为，坚决严肃查处，决不姑息迁就。</w:t>
      </w:r>
    </w:p>
    <w:p>
      <w:pPr>
        <w:spacing w:line="58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各位代表！</w:t>
      </w:r>
    </w:p>
    <w:p>
      <w:pPr>
        <w:spacing w:line="58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初心如磐，使命在肩，宝山的发展已经站在新的历史起点，让我们紧密团结在以习近平同志为核心的党中央周围，在区委的坚强领导下，在区人大、政协的监督支持下，紧紧依靠全区人民，以时不我待，只争朝夕的紧迫感，以奋发有为、干事创业的精气神，以攻坚克难、敢打硬战的必胜决心，奋力开创宝山全面振兴全方位振兴新局面，谱写</w:t>
      </w:r>
      <w:r>
        <w:rPr>
          <w:rFonts w:hint="eastAsia" w:ascii="仿宋_GB2312" w:hAnsi="仿宋_GB2312" w:eastAsia="仿宋_GB2312" w:cs="仿宋_GB2312"/>
          <w:color w:val="000000" w:themeColor="text1"/>
          <w:sz w:val="32"/>
          <w:szCs w:val="32"/>
        </w:rPr>
        <w:t>“十四五”时期</w:t>
      </w:r>
      <w:r>
        <w:rPr>
          <w:rFonts w:hint="eastAsia" w:ascii="仿宋_GB2312" w:eastAsia="仿宋_GB2312"/>
          <w:color w:val="000000" w:themeColor="text1"/>
          <w:kern w:val="0"/>
          <w:sz w:val="32"/>
          <w:szCs w:val="32"/>
        </w:rPr>
        <w:t>宝山高质量转型发展新篇章。</w:t>
      </w:r>
    </w:p>
    <w:p>
      <w:pPr>
        <w:pStyle w:val="2"/>
        <w:spacing w:after="0" w:line="580" w:lineRule="exact"/>
        <w:rPr>
          <w:rFonts w:ascii="仿宋_GB2312" w:eastAsia="仿宋_GB2312"/>
          <w:color w:val="000000" w:themeColor="text1"/>
          <w:kern w:val="0"/>
          <w:sz w:val="32"/>
          <w:szCs w:val="32"/>
        </w:rPr>
      </w:pPr>
    </w:p>
    <w:p>
      <w:pPr>
        <w:spacing w:line="580" w:lineRule="exact"/>
        <w:jc w:val="center"/>
        <w:rPr>
          <w:rFonts w:ascii="方正小标宋简体" w:hAnsi="方正小标宋简体" w:eastAsia="方正小标宋简体" w:cs="方正小标宋简体"/>
          <w:color w:val="000000" w:themeColor="text1"/>
          <w:sz w:val="44"/>
          <w:szCs w:val="44"/>
        </w:rPr>
      </w:pPr>
    </w:p>
    <w:p>
      <w:pPr>
        <w:spacing w:line="580" w:lineRule="exact"/>
        <w:jc w:val="center"/>
        <w:rPr>
          <w:rFonts w:ascii="方正小标宋简体" w:hAnsi="方正小标宋简体" w:eastAsia="方正小标宋简体" w:cs="方正小标宋简体"/>
          <w:color w:val="000000" w:themeColor="text1"/>
          <w:sz w:val="44"/>
          <w:szCs w:val="44"/>
        </w:rPr>
      </w:pPr>
    </w:p>
    <w:p>
      <w:pPr>
        <w:spacing w:line="580" w:lineRule="exact"/>
        <w:jc w:val="center"/>
        <w:rPr>
          <w:rFonts w:ascii="方正小标宋简体" w:hAnsi="方正小标宋简体" w:eastAsia="方正小标宋简体" w:cs="方正小标宋简体"/>
          <w:color w:val="000000" w:themeColor="text1"/>
          <w:sz w:val="44"/>
          <w:szCs w:val="44"/>
        </w:rPr>
      </w:pPr>
    </w:p>
    <w:p>
      <w:pPr>
        <w:pStyle w:val="2"/>
        <w:rPr>
          <w:rFonts w:ascii="方正小标宋简体" w:hAnsi="方正小标宋简体" w:eastAsia="方正小标宋简体" w:cs="方正小标宋简体"/>
          <w:color w:val="000000" w:themeColor="text1"/>
          <w:sz w:val="44"/>
          <w:szCs w:val="44"/>
        </w:rPr>
      </w:pPr>
    </w:p>
    <w:p>
      <w:pPr>
        <w:rPr>
          <w:rFonts w:ascii="方正小标宋简体" w:hAnsi="方正小标宋简体" w:eastAsia="方正小标宋简体" w:cs="方正小标宋简体"/>
          <w:color w:val="000000" w:themeColor="text1"/>
          <w:sz w:val="44"/>
          <w:szCs w:val="44"/>
        </w:rPr>
      </w:pPr>
    </w:p>
    <w:p>
      <w:pPr>
        <w:pStyle w:val="2"/>
        <w:rPr>
          <w:rFonts w:ascii="方正小标宋简体" w:hAnsi="方正小标宋简体" w:eastAsia="方正小标宋简体" w:cs="方正小标宋简体"/>
          <w:color w:val="000000" w:themeColor="text1"/>
          <w:sz w:val="44"/>
          <w:szCs w:val="44"/>
        </w:rPr>
      </w:pPr>
    </w:p>
    <w:p>
      <w:pPr>
        <w:spacing w:line="580" w:lineRule="exact"/>
        <w:jc w:val="center"/>
        <w:rPr>
          <w:rFonts w:ascii="方正小标宋简体" w:hAnsi="方正小标宋简体" w:eastAsia="方正小标宋简体" w:cs="方正小标宋简体"/>
          <w:color w:val="000000" w:themeColor="text1"/>
          <w:sz w:val="44"/>
          <w:szCs w:val="44"/>
        </w:rPr>
      </w:pPr>
    </w:p>
    <w:p>
      <w:pPr>
        <w:pStyle w:val="2"/>
        <w:spacing w:after="0" w:line="580" w:lineRule="exact"/>
        <w:rPr>
          <w:rFonts w:ascii="方正小标宋简体" w:hAnsi="方正小标宋简体" w:eastAsia="方正小标宋简体" w:cs="方正小标宋简体"/>
          <w:color w:val="000000" w:themeColor="text1"/>
          <w:sz w:val="44"/>
          <w:szCs w:val="44"/>
        </w:rPr>
      </w:pPr>
    </w:p>
    <w:p>
      <w:pPr>
        <w:spacing w:line="580" w:lineRule="exact"/>
        <w:rPr>
          <w:rFonts w:ascii="方正小标宋简体" w:hAnsi="方正小标宋简体" w:eastAsia="方正小标宋简体" w:cs="方正小标宋简体"/>
          <w:color w:val="000000" w:themeColor="text1"/>
          <w:sz w:val="44"/>
          <w:szCs w:val="44"/>
        </w:rPr>
      </w:pPr>
    </w:p>
    <w:p>
      <w:pPr>
        <w:spacing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名 词 解 释</w:t>
      </w:r>
    </w:p>
    <w:p>
      <w:pPr>
        <w:spacing w:line="440" w:lineRule="exact"/>
        <w:rPr>
          <w:rFonts w:asciiTheme="minorHAnsi" w:hAnsiTheme="minorHAnsi" w:eastAsiaTheme="minorEastAsia" w:cstheme="minorBidi"/>
          <w:color w:val="000000" w:themeColor="text1"/>
          <w:sz w:val="32"/>
          <w:szCs w:val="32"/>
        </w:rPr>
      </w:pPr>
    </w:p>
    <w:p>
      <w:pPr>
        <w:spacing w:line="440" w:lineRule="exact"/>
        <w:ind w:firstLine="560" w:firstLineChars="200"/>
        <w:rPr>
          <w:rFonts w:ascii="仿宋_GB2312" w:hAnsi="仿宋_GB2312" w:eastAsia="仿宋_GB2312" w:cs="仿宋_GB2312"/>
          <w:color w:val="000000" w:themeColor="text1"/>
          <w:sz w:val="28"/>
          <w:szCs w:val="28"/>
        </w:rPr>
      </w:pPr>
      <w:r>
        <w:rPr>
          <w:rFonts w:hint="eastAsia" w:ascii="黑体" w:hAnsi="黑体" w:eastAsia="黑体" w:cstheme="minorBidi"/>
          <w:color w:val="000000" w:themeColor="text1"/>
          <w:sz w:val="28"/>
          <w:szCs w:val="28"/>
        </w:rPr>
        <w:t>1.</w:t>
      </w:r>
      <w:r>
        <w:rPr>
          <w:rFonts w:hint="eastAsia" w:ascii="黑体" w:hAnsi="黑体" w:eastAsia="黑体" w:cs="黑体"/>
          <w:color w:val="000000" w:themeColor="text1"/>
          <w:sz w:val="28"/>
          <w:szCs w:val="28"/>
        </w:rPr>
        <w:t>“五位一体”总体布局：</w:t>
      </w:r>
      <w:r>
        <w:rPr>
          <w:rFonts w:hint="eastAsia" w:ascii="仿宋_GB2312" w:hAnsi="仿宋_GB2312" w:eastAsia="仿宋_GB2312" w:cs="仿宋_GB2312"/>
          <w:color w:val="000000" w:themeColor="text1"/>
          <w:sz w:val="28"/>
          <w:szCs w:val="28"/>
        </w:rPr>
        <w:t>即经济建设、政治建设、文化建设、社会建设和生态文明建设五位一体，全面推进。</w:t>
      </w:r>
    </w:p>
    <w:p>
      <w:pPr>
        <w:spacing w:line="440" w:lineRule="exact"/>
        <w:ind w:firstLine="560" w:firstLineChars="200"/>
        <w:rPr>
          <w:rFonts w:ascii="仿宋_GB2312" w:hAnsi="仿宋_GB2312" w:eastAsia="仿宋_GB2312" w:cs="仿宋_GB2312"/>
          <w:color w:val="000000" w:themeColor="text1"/>
          <w:sz w:val="28"/>
          <w:szCs w:val="28"/>
        </w:rPr>
      </w:pPr>
      <w:r>
        <w:rPr>
          <w:rFonts w:hint="eastAsia" w:ascii="黑体" w:hAnsi="黑体" w:eastAsia="黑体" w:cs="黑体"/>
          <w:color w:val="000000" w:themeColor="text1"/>
          <w:sz w:val="28"/>
          <w:szCs w:val="28"/>
        </w:rPr>
        <w:t>2.“六保”：</w:t>
      </w:r>
      <w:r>
        <w:rPr>
          <w:rFonts w:hint="eastAsia" w:ascii="仿宋_GB2312" w:hAnsi="仿宋_GB2312" w:eastAsia="仿宋_GB2312" w:cs="仿宋_GB2312"/>
          <w:color w:val="000000" w:themeColor="text1"/>
          <w:sz w:val="28"/>
          <w:szCs w:val="28"/>
        </w:rPr>
        <w:t>即保居民就业、保基本民生、保市场主体、保粮食能源安全、保产业链供应链稳定、保基层运转。</w:t>
      </w:r>
    </w:p>
    <w:p>
      <w:pPr>
        <w:spacing w:line="440" w:lineRule="exact"/>
        <w:ind w:firstLine="560" w:firstLineChars="200"/>
        <w:rPr>
          <w:rFonts w:ascii="仿宋_GB2312" w:hAnsi="仿宋_GB2312" w:eastAsia="仿宋_GB2312" w:cs="仿宋_GB2312"/>
          <w:color w:val="000000" w:themeColor="text1"/>
          <w:sz w:val="28"/>
          <w:szCs w:val="28"/>
        </w:rPr>
      </w:pPr>
      <w:r>
        <w:rPr>
          <w:rFonts w:hint="eastAsia" w:ascii="黑体" w:hAnsi="黑体" w:eastAsia="黑体" w:cs="黑体"/>
          <w:color w:val="000000" w:themeColor="text1"/>
          <w:sz w:val="28"/>
          <w:szCs w:val="28"/>
        </w:rPr>
        <w:t>3.“六稳”：</w:t>
      </w:r>
      <w:r>
        <w:rPr>
          <w:rFonts w:hint="eastAsia" w:ascii="仿宋_GB2312" w:hAnsi="仿宋_GB2312" w:eastAsia="仿宋_GB2312" w:cs="仿宋_GB2312"/>
          <w:color w:val="000000" w:themeColor="text1"/>
          <w:sz w:val="28"/>
          <w:szCs w:val="28"/>
        </w:rPr>
        <w:t>即稳就业、稳金融、稳外贸、稳外资、稳投资、稳预期。</w:t>
      </w:r>
    </w:p>
    <w:p>
      <w:pPr>
        <w:spacing w:line="440" w:lineRule="exact"/>
        <w:ind w:firstLine="560" w:firstLineChars="200"/>
        <w:rPr>
          <w:rFonts w:ascii="仿宋_GB2312" w:hAnsi="仿宋_GB2312" w:eastAsia="仿宋_GB2312" w:cs="仿宋_GB2312"/>
          <w:color w:val="000000" w:themeColor="text1"/>
          <w:sz w:val="28"/>
          <w:szCs w:val="28"/>
          <w:shd w:val="clear" w:color="auto" w:fill="FFFFFF"/>
        </w:rPr>
      </w:pPr>
      <w:r>
        <w:rPr>
          <w:rFonts w:hint="eastAsia" w:ascii="黑体" w:hAnsi="黑体" w:eastAsia="黑体" w:cs="黑体"/>
          <w:color w:val="000000" w:themeColor="text1"/>
          <w:sz w:val="28"/>
          <w:szCs w:val="28"/>
        </w:rPr>
        <w:t>4.“三关”：</w:t>
      </w:r>
      <w:r>
        <w:rPr>
          <w:rFonts w:hint="eastAsia" w:ascii="仿宋_GB2312" w:hAnsi="仿宋_GB2312" w:eastAsia="仿宋_GB2312" w:cs="仿宋_GB2312"/>
          <w:bCs/>
          <w:color w:val="000000" w:themeColor="text1"/>
          <w:sz w:val="28"/>
          <w:szCs w:val="28"/>
        </w:rPr>
        <w:t>即</w:t>
      </w:r>
      <w:r>
        <w:rPr>
          <w:rFonts w:hint="eastAsia" w:ascii="仿宋_GB2312" w:hAnsi="仿宋_GB2312" w:eastAsia="仿宋_GB2312" w:cs="仿宋_GB2312"/>
          <w:color w:val="000000" w:themeColor="text1"/>
          <w:sz w:val="28"/>
          <w:szCs w:val="28"/>
          <w:shd w:val="clear" w:color="auto" w:fill="FFFFFF"/>
        </w:rPr>
        <w:t>资源审查、资金审核和项目审批三道关。</w:t>
      </w:r>
    </w:p>
    <w:p>
      <w:pPr>
        <w:spacing w:line="440" w:lineRule="exact"/>
        <w:ind w:firstLine="560" w:firstLineChars="200"/>
        <w:rPr>
          <w:rFonts w:ascii="仿宋_GB2312" w:hAnsi="仿宋_GB2312" w:eastAsia="仿宋_GB2312" w:cs="仿宋_GB2312"/>
          <w:color w:val="000000" w:themeColor="text1"/>
          <w:sz w:val="28"/>
          <w:szCs w:val="28"/>
          <w:shd w:val="clear" w:color="auto" w:fill="FFFFFF"/>
        </w:rPr>
      </w:pPr>
      <w:r>
        <w:rPr>
          <w:rFonts w:hint="eastAsia" w:ascii="黑体" w:hAnsi="黑体" w:eastAsia="黑体" w:cs="黑体"/>
          <w:color w:val="000000" w:themeColor="text1"/>
          <w:sz w:val="28"/>
          <w:szCs w:val="28"/>
          <w:shd w:val="clear" w:color="auto" w:fill="FFFFFF"/>
        </w:rPr>
        <w:t>5.</w:t>
      </w:r>
      <w:r>
        <w:rPr>
          <w:rFonts w:hint="eastAsia" w:ascii="黑体" w:hAnsi="黑体" w:eastAsia="黑体" w:cs="黑体"/>
          <w:color w:val="000000" w:themeColor="text1"/>
          <w:kern w:val="0"/>
          <w:sz w:val="28"/>
          <w:szCs w:val="28"/>
        </w:rPr>
        <w:t>“一创两建”：</w:t>
      </w:r>
      <w:r>
        <w:rPr>
          <w:rFonts w:hint="eastAsia" w:ascii="仿宋_GB2312" w:hAnsi="仿宋_GB2312" w:eastAsia="仿宋_GB2312" w:cs="仿宋_GB2312"/>
          <w:color w:val="000000" w:themeColor="text1"/>
          <w:kern w:val="0"/>
          <w:sz w:val="28"/>
          <w:szCs w:val="28"/>
        </w:rPr>
        <w:t>即</w:t>
      </w:r>
      <w:r>
        <w:rPr>
          <w:rFonts w:hint="eastAsia" w:ascii="仿宋_GB2312" w:hAnsi="仿宋_GB2312" w:eastAsia="仿宋_GB2312" w:cs="仿宋_GB2312"/>
          <w:color w:val="000000" w:themeColor="text1"/>
          <w:sz w:val="28"/>
          <w:szCs w:val="28"/>
          <w:shd w:val="clear" w:color="auto" w:fill="FFFFFF"/>
        </w:rPr>
        <w:t>争创全国文明城市、建设美丽城市、美丽乡村。</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shd w:val="clear" w:color="auto" w:fill="FFFFFF"/>
        </w:rPr>
        <w:t>6.</w:t>
      </w:r>
      <w:r>
        <w:rPr>
          <w:rFonts w:hint="eastAsia" w:ascii="黑体" w:hAnsi="黑体" w:eastAsia="黑体" w:cs="黑体"/>
          <w:color w:val="000000" w:themeColor="text1"/>
          <w:sz w:val="28"/>
          <w:szCs w:val="28"/>
        </w:rPr>
        <w:t>“厕所革命”：</w:t>
      </w:r>
      <w:r>
        <w:rPr>
          <w:rFonts w:hint="eastAsia" w:ascii="仿宋_GB2312" w:hAnsi="仿宋_GB2312" w:eastAsia="仿宋_GB2312" w:cs="仿宋_GB2312"/>
          <w:color w:val="000000" w:themeColor="text1"/>
          <w:sz w:val="28"/>
          <w:szCs w:val="28"/>
        </w:rPr>
        <w:t>即对发展中国家的厕所进行改造的一项举措。</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7.“亮心”工程：</w:t>
      </w:r>
      <w:r>
        <w:rPr>
          <w:rFonts w:hint="eastAsia" w:ascii="仿宋_GB2312" w:hAnsi="仿宋_GB2312" w:eastAsia="仿宋_GB2312" w:cs="仿宋_GB2312"/>
          <w:color w:val="000000" w:themeColor="text1"/>
          <w:sz w:val="28"/>
          <w:szCs w:val="28"/>
        </w:rPr>
        <w:t>即市委、市政府决定在全市开展“践行初心使命、点亮暖心之灯”工程，简称“亮心”工程。</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8.“三供一业”：</w:t>
      </w:r>
      <w:r>
        <w:rPr>
          <w:rFonts w:hint="eastAsia" w:ascii="仿宋_GB2312" w:hAnsi="仿宋_GB2312" w:eastAsia="仿宋_GB2312" w:cs="仿宋_GB2312"/>
          <w:snapToGrid w:val="0"/>
          <w:color w:val="000000" w:themeColor="text1"/>
          <w:sz w:val="28"/>
          <w:szCs w:val="28"/>
        </w:rPr>
        <w:t>即</w:t>
      </w:r>
      <w:r>
        <w:rPr>
          <w:rFonts w:hint="eastAsia" w:ascii="仿宋_GB2312" w:hAnsi="仿宋_GB2312" w:eastAsia="仿宋_GB2312" w:cs="仿宋_GB2312"/>
          <w:color w:val="000000" w:themeColor="text1"/>
          <w:sz w:val="28"/>
          <w:szCs w:val="28"/>
          <w:shd w:val="clear" w:color="auto" w:fill="FFFFFF"/>
        </w:rPr>
        <w:t>供水、供电、供热和物业管理。</w:t>
      </w:r>
    </w:p>
    <w:p>
      <w:pPr>
        <w:spacing w:line="440" w:lineRule="exact"/>
        <w:ind w:firstLine="560" w:firstLineChars="200"/>
        <w:rPr>
          <w:rFonts w:ascii="仿宋_GB2312" w:hAnsi="仿宋_GB2312" w:eastAsia="仿宋_GB2312" w:cs="仿宋_GB2312"/>
          <w:b/>
          <w:bCs/>
          <w:color w:val="000000" w:themeColor="text1"/>
          <w:sz w:val="28"/>
          <w:szCs w:val="28"/>
          <w:shd w:val="clear" w:color="auto" w:fill="FFFFFF"/>
        </w:rPr>
      </w:pPr>
      <w:r>
        <w:rPr>
          <w:rFonts w:hint="eastAsia" w:ascii="黑体" w:hAnsi="黑体" w:eastAsia="黑体" w:cs="黑体"/>
          <w:color w:val="000000" w:themeColor="text1"/>
          <w:sz w:val="28"/>
          <w:szCs w:val="28"/>
        </w:rPr>
        <w:t>9.</w:t>
      </w:r>
      <w:r>
        <w:rPr>
          <w:rFonts w:hint="eastAsia" w:ascii="黑体" w:hAnsi="黑体" w:eastAsia="黑体" w:cs="黑体"/>
          <w:color w:val="000000" w:themeColor="text1"/>
          <w:sz w:val="28"/>
          <w:szCs w:val="28"/>
          <w:shd w:val="clear" w:color="auto" w:fill="FFFFFF"/>
        </w:rPr>
        <w:t>“三访一包”：</w:t>
      </w:r>
      <w:r>
        <w:rPr>
          <w:rFonts w:hint="eastAsia" w:ascii="仿宋_GB2312" w:hAnsi="仿宋_GB2312" w:eastAsia="仿宋_GB2312" w:cs="仿宋_GB2312"/>
          <w:bCs/>
          <w:color w:val="000000" w:themeColor="text1"/>
          <w:sz w:val="28"/>
          <w:szCs w:val="28"/>
        </w:rPr>
        <w:t>即开门接访，主动约访，带案下访，领导包案。</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shd w:val="clear" w:color="auto" w:fill="FFFFFF"/>
        </w:rPr>
        <w:t>10.</w:t>
      </w:r>
      <w:r>
        <w:rPr>
          <w:rFonts w:hint="eastAsia" w:ascii="黑体" w:hAnsi="黑体" w:eastAsia="黑体" w:cs="黑体"/>
          <w:color w:val="000000" w:themeColor="text1"/>
          <w:sz w:val="28"/>
          <w:szCs w:val="28"/>
        </w:rPr>
        <w:t>“四个全面”：</w:t>
      </w:r>
      <w:r>
        <w:rPr>
          <w:rFonts w:hint="eastAsia" w:ascii="仿宋_GB2312" w:hAnsi="仿宋_GB2312" w:eastAsia="仿宋_GB2312" w:cs="仿宋_GB2312"/>
          <w:color w:val="000000" w:themeColor="text1"/>
          <w:sz w:val="28"/>
          <w:szCs w:val="28"/>
          <w:shd w:val="clear" w:color="auto" w:fill="FFFFFF"/>
        </w:rPr>
        <w:t>即全面建成小康社会、全面深化改革、全面依法治国、全面从严治党。</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11.“两新一重”：</w:t>
      </w:r>
      <w:r>
        <w:rPr>
          <w:rFonts w:hint="eastAsia" w:ascii="仿宋_GB2312" w:hAnsi="仿宋_GB2312" w:eastAsia="仿宋_GB2312" w:cs="仿宋_GB2312"/>
          <w:color w:val="000000" w:themeColor="text1"/>
          <w:sz w:val="28"/>
          <w:szCs w:val="28"/>
          <w:shd w:val="clear" w:color="auto" w:fill="FFFFFF"/>
        </w:rPr>
        <w:t>即新型基础设施建设，新型城镇化建设，交通、水利等重大工程建设。</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snapToGrid w:val="0"/>
          <w:color w:val="000000" w:themeColor="text1"/>
          <w:sz w:val="28"/>
          <w:szCs w:val="28"/>
        </w:rPr>
        <w:t>12.</w:t>
      </w:r>
      <w:r>
        <w:rPr>
          <w:rFonts w:hint="eastAsia" w:ascii="黑体" w:hAnsi="黑体" w:eastAsia="黑体" w:cs="黑体"/>
          <w:color w:val="000000" w:themeColor="text1"/>
          <w:sz w:val="28"/>
          <w:szCs w:val="28"/>
        </w:rPr>
        <w:t>农村承包地“三权分置”：</w:t>
      </w:r>
      <w:r>
        <w:rPr>
          <w:rFonts w:hint="eastAsia" w:ascii="仿宋_GB2312" w:hAnsi="仿宋_GB2312" w:eastAsia="仿宋_GB2312" w:cs="仿宋_GB2312"/>
          <w:color w:val="000000" w:themeColor="text1"/>
          <w:sz w:val="28"/>
          <w:szCs w:val="28"/>
        </w:rPr>
        <w:t>即农村</w:t>
      </w:r>
      <w:r>
        <w:rPr>
          <w:rFonts w:hint="eastAsia" w:ascii="仿宋_GB2312" w:hAnsi="仿宋_GB2312" w:eastAsia="仿宋_GB2312" w:cs="仿宋_GB2312"/>
          <w:color w:val="000000" w:themeColor="text1"/>
          <w:sz w:val="28"/>
          <w:szCs w:val="28"/>
          <w:shd w:val="clear" w:color="auto" w:fill="FFFFFF"/>
        </w:rPr>
        <w:t>土地产权形成所有权、承包权、经营权三权分置。</w:t>
      </w:r>
    </w:p>
    <w:p>
      <w:pPr>
        <w:spacing w:line="440" w:lineRule="exact"/>
        <w:ind w:firstLine="560" w:firstLineChars="200"/>
        <w:rPr>
          <w:rFonts w:ascii="仿宋_GB2312" w:hAnsi="仿宋_GB2312" w:eastAsia="仿宋_GB2312" w:cs="仿宋_GB2312"/>
          <w:color w:val="000000" w:themeColor="text1"/>
          <w:sz w:val="28"/>
          <w:szCs w:val="28"/>
        </w:rPr>
      </w:pPr>
      <w:r>
        <w:rPr>
          <w:rFonts w:hint="eastAsia" w:ascii="黑体" w:hAnsi="黑体" w:eastAsia="黑体" w:cs="黑体"/>
          <w:color w:val="000000" w:themeColor="text1"/>
          <w:sz w:val="28"/>
          <w:szCs w:val="28"/>
        </w:rPr>
        <w:t>13.“六大产业链条”：</w:t>
      </w:r>
      <w:r>
        <w:rPr>
          <w:rFonts w:hint="eastAsia" w:ascii="仿宋_GB2312" w:hAnsi="仿宋_GB2312" w:eastAsia="仿宋_GB2312" w:cs="仿宋_GB2312"/>
          <w:color w:val="000000" w:themeColor="text1"/>
          <w:sz w:val="28"/>
          <w:szCs w:val="28"/>
        </w:rPr>
        <w:t>即</w:t>
      </w:r>
      <w:r>
        <w:rPr>
          <w:rFonts w:hint="eastAsia" w:ascii="仿宋_GB2312" w:hAnsi="仿宋_GB2312" w:eastAsia="仿宋_GB2312" w:cs="仿宋_GB2312"/>
          <w:color w:val="000000" w:themeColor="text1"/>
          <w:sz w:val="28"/>
          <w:szCs w:val="28"/>
          <w:shd w:val="clear" w:color="auto" w:fill="FFFFFF"/>
        </w:rPr>
        <w:t>现代煤化工、粮食和绿色食品深加工、石墨及新材料、生态旅游、特色种植、医药和汉麻。</w:t>
      </w:r>
    </w:p>
    <w:p>
      <w:pPr>
        <w:spacing w:line="440" w:lineRule="exact"/>
        <w:ind w:firstLine="560" w:firstLineChars="200"/>
        <w:rPr>
          <w:rFonts w:ascii="仿宋_GB2312" w:hAnsi="仿宋_GB2312" w:eastAsia="仿宋_GB2312" w:cs="仿宋_GB2312"/>
          <w:b/>
          <w:bCs/>
          <w:color w:val="000000" w:themeColor="text1"/>
          <w:kern w:val="0"/>
          <w:sz w:val="28"/>
          <w:szCs w:val="28"/>
        </w:rPr>
      </w:pPr>
      <w:r>
        <w:rPr>
          <w:rFonts w:hint="eastAsia" w:ascii="黑体" w:hAnsi="黑体" w:eastAsia="黑体" w:cs="黑体"/>
          <w:color w:val="000000" w:themeColor="text1"/>
          <w:sz w:val="28"/>
          <w:szCs w:val="28"/>
        </w:rPr>
        <w:t>14.“七个新增长领域”：</w:t>
      </w:r>
      <w:r>
        <w:rPr>
          <w:rFonts w:hint="eastAsia" w:ascii="仿宋_GB2312" w:hAnsi="仿宋_GB2312" w:eastAsia="仿宋_GB2312" w:cs="仿宋_GB2312"/>
          <w:color w:val="000000" w:themeColor="text1"/>
          <w:sz w:val="28"/>
          <w:szCs w:val="28"/>
        </w:rPr>
        <w:t>即</w:t>
      </w:r>
      <w:r>
        <w:rPr>
          <w:rFonts w:hint="eastAsia" w:ascii="仿宋_GB2312" w:hAnsi="仿宋_GB2312" w:eastAsia="仿宋_GB2312" w:cs="仿宋_GB2312"/>
          <w:bCs/>
          <w:color w:val="000000" w:themeColor="text1"/>
          <w:sz w:val="28"/>
          <w:szCs w:val="28"/>
        </w:rPr>
        <w:t>现代煤化工、粮食和绿色食品深加工、石墨及新材料、旅游、电子商务、畜牧和特色种植七大领域。</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kern w:val="0"/>
          <w:sz w:val="28"/>
          <w:szCs w:val="28"/>
        </w:rPr>
        <w:t>15.</w:t>
      </w:r>
      <w:r>
        <w:rPr>
          <w:rFonts w:hint="eastAsia" w:ascii="黑体" w:hAnsi="黑体" w:eastAsia="黑体" w:cs="黑体"/>
          <w:color w:val="000000" w:themeColor="text1"/>
          <w:sz w:val="28"/>
          <w:szCs w:val="28"/>
          <w:shd w:val="clear" w:color="auto" w:fill="FFFFFF"/>
        </w:rPr>
        <w:t>“放管服”改革：</w:t>
      </w:r>
      <w:r>
        <w:rPr>
          <w:rFonts w:hint="eastAsia" w:ascii="仿宋_GB2312" w:hAnsi="仿宋_GB2312" w:eastAsia="仿宋_GB2312" w:cs="仿宋_GB2312"/>
          <w:color w:val="000000" w:themeColor="text1"/>
          <w:sz w:val="28"/>
          <w:szCs w:val="28"/>
          <w:shd w:val="clear" w:color="auto" w:fill="FFFFFF"/>
        </w:rPr>
        <w:t>即简政放权、放管结合、优化服务。</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16.“枫桥经验”：</w:t>
      </w:r>
      <w:r>
        <w:rPr>
          <w:rFonts w:hint="eastAsia" w:ascii="仿宋_GB2312" w:hAnsi="仿宋_GB2312" w:eastAsia="仿宋_GB2312" w:cs="仿宋_GB2312"/>
          <w:color w:val="000000" w:themeColor="text1"/>
          <w:sz w:val="28"/>
          <w:szCs w:val="28"/>
          <w:shd w:val="clear" w:color="auto" w:fill="FFFFFF"/>
        </w:rPr>
        <w:t>20世纪60年代初，浙江省绍兴市诸暨县（现诸暨市）枫桥镇干部群众创造了“发动和依靠群众，坚持矛盾不上交，就地解决。实现捕人少，治安好”的“枫桥经验”。</w:t>
      </w:r>
    </w:p>
    <w:p>
      <w:pPr>
        <w:spacing w:line="440" w:lineRule="exact"/>
        <w:ind w:firstLine="560" w:firstLineChars="200"/>
        <w:rPr>
          <w:rFonts w:ascii="仿宋_GB2312" w:hAnsi="仿宋_GB2312" w:eastAsia="仿宋_GB2312" w:cs="仿宋_GB2312"/>
          <w:b/>
          <w:bCs/>
          <w:color w:val="000000" w:themeColor="text1"/>
          <w:sz w:val="28"/>
          <w:szCs w:val="28"/>
          <w:shd w:val="clear" w:color="auto" w:fill="FFFFFF"/>
        </w:rPr>
      </w:pPr>
      <w:r>
        <w:rPr>
          <w:rFonts w:hint="eastAsia" w:ascii="黑体" w:hAnsi="黑体" w:eastAsia="黑体" w:cs="黑体"/>
          <w:color w:val="000000" w:themeColor="text1"/>
          <w:sz w:val="28"/>
          <w:szCs w:val="28"/>
        </w:rPr>
        <w:t>17.</w:t>
      </w:r>
      <w:r>
        <w:rPr>
          <w:rFonts w:hint="eastAsia" w:ascii="黑体" w:hAnsi="黑体" w:eastAsia="黑体" w:cs="黑体"/>
          <w:color w:val="000000" w:themeColor="text1"/>
          <w:kern w:val="0"/>
          <w:sz w:val="28"/>
          <w:szCs w:val="28"/>
        </w:rPr>
        <w:t>“八乱”：</w:t>
      </w:r>
      <w:r>
        <w:rPr>
          <w:rFonts w:hint="eastAsia" w:ascii="仿宋_GB2312" w:hAnsi="仿宋_GB2312" w:eastAsia="仿宋_GB2312" w:cs="仿宋_GB2312"/>
          <w:color w:val="000000" w:themeColor="text1"/>
          <w:sz w:val="28"/>
          <w:szCs w:val="28"/>
          <w:shd w:val="clear" w:color="auto" w:fill="FFFFFF"/>
        </w:rPr>
        <w:t>乱贴、乱画、乱停、乱放、乱搭、乱建、乱摆、乱堆。</w:t>
      </w:r>
    </w:p>
    <w:p>
      <w:pPr>
        <w:spacing w:line="440" w:lineRule="exact"/>
        <w:ind w:firstLine="560" w:firstLineChars="200"/>
        <w:rPr>
          <w:rFonts w:ascii="仿宋_GB2312" w:hAnsi="仿宋_GB2312" w:eastAsia="仿宋_GB2312" w:cs="仿宋_GB2312"/>
          <w:b/>
          <w:bCs/>
          <w:color w:val="000000" w:themeColor="text1"/>
          <w:sz w:val="28"/>
          <w:szCs w:val="28"/>
          <w:shd w:val="clear" w:color="auto" w:fill="FFFFFF"/>
        </w:rPr>
      </w:pPr>
      <w:r>
        <w:rPr>
          <w:rFonts w:hint="eastAsia" w:ascii="黑体" w:hAnsi="黑体" w:eastAsia="黑体" w:cs="黑体"/>
          <w:color w:val="000000" w:themeColor="text1"/>
          <w:sz w:val="28"/>
          <w:szCs w:val="28"/>
          <w:shd w:val="clear" w:color="auto" w:fill="FFFFFF"/>
        </w:rPr>
        <w:t>18.</w:t>
      </w:r>
      <w:r>
        <w:rPr>
          <w:rFonts w:hint="eastAsia" w:ascii="黑体" w:hAnsi="黑体" w:eastAsia="黑体" w:cs="黑体"/>
          <w:color w:val="000000" w:themeColor="text1"/>
          <w:sz w:val="28"/>
          <w:szCs w:val="28"/>
        </w:rPr>
        <w:t>“散乱污”企业：</w:t>
      </w:r>
      <w:r>
        <w:rPr>
          <w:rFonts w:hint="eastAsia" w:ascii="仿宋_GB2312" w:hAnsi="仿宋_GB2312" w:eastAsia="仿宋_GB2312" w:cs="仿宋_GB2312"/>
          <w:color w:val="000000" w:themeColor="text1"/>
          <w:sz w:val="28"/>
          <w:szCs w:val="28"/>
        </w:rPr>
        <w:t>即</w:t>
      </w:r>
      <w:r>
        <w:rPr>
          <w:rFonts w:hint="eastAsia" w:ascii="仿宋_GB2312" w:hAnsi="仿宋_GB2312" w:eastAsia="仿宋_GB2312" w:cs="仿宋_GB2312"/>
          <w:color w:val="000000" w:themeColor="text1"/>
          <w:sz w:val="28"/>
          <w:szCs w:val="28"/>
          <w:shd w:val="clear" w:color="auto" w:fill="FFFFFF"/>
        </w:rPr>
        <w:t>不符合产业政策,不符合当地产业布局规划,未办理工信、发改、土地、规划、环保、工商、质监、安监、电力等相关审批手续,不能稳定达标排放的企业。</w:t>
      </w:r>
    </w:p>
    <w:p>
      <w:pPr>
        <w:spacing w:line="440" w:lineRule="exact"/>
        <w:ind w:firstLine="560" w:firstLineChars="200"/>
        <w:rPr>
          <w:rFonts w:ascii="仿宋_GB2312" w:hAnsi="仿宋_GB2312" w:eastAsia="仿宋_GB2312" w:cs="仿宋_GB2312"/>
          <w:b/>
          <w:bCs/>
          <w:color w:val="000000" w:themeColor="text1"/>
          <w:kern w:val="0"/>
          <w:sz w:val="28"/>
          <w:szCs w:val="28"/>
        </w:rPr>
      </w:pPr>
      <w:r>
        <w:rPr>
          <w:rFonts w:hint="eastAsia" w:ascii="黑体" w:hAnsi="黑体" w:eastAsia="黑体" w:cs="黑体"/>
          <w:color w:val="000000" w:themeColor="text1"/>
          <w:sz w:val="28"/>
          <w:szCs w:val="28"/>
          <w:shd w:val="clear" w:color="auto" w:fill="FFFFFF"/>
        </w:rPr>
        <w:t>19.</w:t>
      </w:r>
      <w:r>
        <w:rPr>
          <w:rFonts w:hint="eastAsia" w:ascii="黑体" w:hAnsi="黑体" w:eastAsia="黑体" w:cs="黑体"/>
          <w:color w:val="000000" w:themeColor="text1"/>
          <w:sz w:val="28"/>
          <w:szCs w:val="28"/>
        </w:rPr>
        <w:t>秸秆“五化”：</w:t>
      </w:r>
      <w:r>
        <w:rPr>
          <w:rFonts w:hint="eastAsia" w:ascii="仿宋_GB2312" w:hAnsi="仿宋_GB2312" w:eastAsia="仿宋_GB2312" w:cs="仿宋_GB2312"/>
          <w:color w:val="000000" w:themeColor="text1"/>
          <w:sz w:val="28"/>
          <w:szCs w:val="28"/>
        </w:rPr>
        <w:t>即秸秆的饲料化、肥料化、燃料化、原料化、基料化。</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kern w:val="0"/>
          <w:sz w:val="28"/>
          <w:szCs w:val="28"/>
        </w:rPr>
        <w:t>20.</w:t>
      </w:r>
      <w:r>
        <w:rPr>
          <w:rFonts w:hint="eastAsia" w:ascii="黑体" w:hAnsi="黑体" w:eastAsia="黑体" w:cs="黑体"/>
          <w:color w:val="000000" w:themeColor="text1"/>
          <w:sz w:val="28"/>
          <w:szCs w:val="28"/>
        </w:rPr>
        <w:t>河湖“清四乱”专项行动：</w:t>
      </w:r>
      <w:r>
        <w:rPr>
          <w:rFonts w:hint="eastAsia" w:ascii="仿宋_GB2312" w:hAnsi="仿宋_GB2312" w:eastAsia="仿宋_GB2312" w:cs="仿宋_GB2312"/>
          <w:color w:val="000000" w:themeColor="text1"/>
          <w:sz w:val="28"/>
          <w:szCs w:val="28"/>
        </w:rPr>
        <w:t>指国家水利部</w:t>
      </w:r>
      <w:r>
        <w:rPr>
          <w:rFonts w:hint="eastAsia" w:ascii="仿宋_GB2312" w:hAnsi="仿宋_GB2312" w:eastAsia="仿宋_GB2312" w:cs="仿宋_GB2312"/>
          <w:color w:val="000000" w:themeColor="text1"/>
          <w:sz w:val="28"/>
          <w:szCs w:val="28"/>
          <w:shd w:val="clear" w:color="auto" w:fill="FFFFFF"/>
        </w:rPr>
        <w:t>在全国范围内对乱占、乱采、乱堆、乱建等河湖管理保护突出问题开展专项清理整治行动。</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21.“亮剑护河”专项行动：</w:t>
      </w:r>
      <w:r>
        <w:rPr>
          <w:rFonts w:hint="eastAsia" w:ascii="仿宋_GB2312" w:hAnsi="仿宋_GB2312" w:eastAsia="仿宋_GB2312" w:cs="仿宋_GB2312"/>
          <w:color w:val="000000" w:themeColor="text1"/>
          <w:sz w:val="28"/>
          <w:szCs w:val="28"/>
        </w:rPr>
        <w:t>指</w:t>
      </w:r>
      <w:r>
        <w:rPr>
          <w:rFonts w:hint="eastAsia" w:ascii="仿宋_GB2312" w:hAnsi="仿宋_GB2312" w:eastAsia="仿宋_GB2312" w:cs="仿宋_GB2312"/>
          <w:color w:val="000000" w:themeColor="text1"/>
          <w:sz w:val="28"/>
          <w:szCs w:val="28"/>
          <w:shd w:val="clear" w:color="auto" w:fill="FFFFFF"/>
        </w:rPr>
        <w:t>省水利厅、省公安厅、省检察院将在全省范围内开展“亮剑护河”联合执法专项行动，旨在加大河湖管理保护监管力度，落实行政执法与刑事司法衔接机制，坚决清理整治非法取水、设障、采砂、围垦、侵占水域岸线等行为，严厉打击涉河湖违法犯罪行为，加大河湖生态环境公益保护力度。</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22.中小学教师“十百千”工程：</w:t>
      </w:r>
      <w:r>
        <w:rPr>
          <w:rFonts w:hint="eastAsia" w:ascii="仿宋_GB2312" w:hAnsi="仿宋_GB2312" w:eastAsia="仿宋_GB2312" w:cs="仿宋_GB2312"/>
          <w:color w:val="000000" w:themeColor="text1"/>
          <w:sz w:val="28"/>
          <w:szCs w:val="28"/>
        </w:rPr>
        <w:t>指黑龙江省</w:t>
      </w:r>
      <w:r>
        <w:rPr>
          <w:rFonts w:hint="eastAsia" w:ascii="仿宋_GB2312" w:hAnsi="仿宋_GB2312" w:eastAsia="仿宋_GB2312" w:cs="仿宋_GB2312"/>
          <w:color w:val="000000" w:themeColor="text1"/>
          <w:sz w:val="28"/>
          <w:szCs w:val="28"/>
          <w:shd w:val="clear" w:color="auto" w:fill="FFFFFF"/>
        </w:rPr>
        <w:t>计划在全省中小学一线在职教师中遴选培养千名龙江骨干教师、百名龙江卓越教师和十名龙江教育家型教师。</w:t>
      </w:r>
    </w:p>
    <w:p>
      <w:pPr>
        <w:spacing w:line="440" w:lineRule="exact"/>
        <w:ind w:firstLine="560" w:firstLineChars="200"/>
        <w:rPr>
          <w:rFonts w:ascii="仿宋_GB2312" w:hAnsi="仿宋_GB2312" w:eastAsia="仿宋_GB2312" w:cs="仿宋_GB2312"/>
          <w:color w:val="000000" w:themeColor="text1"/>
          <w:sz w:val="28"/>
          <w:szCs w:val="28"/>
          <w:shd w:val="clear" w:color="auto" w:fill="FFFFFF"/>
        </w:rPr>
      </w:pPr>
      <w:r>
        <w:rPr>
          <w:rFonts w:hint="eastAsia" w:ascii="黑体" w:hAnsi="黑体" w:eastAsia="黑体" w:cs="黑体"/>
          <w:color w:val="000000" w:themeColor="text1"/>
          <w:sz w:val="28"/>
          <w:szCs w:val="28"/>
        </w:rPr>
        <w:t>23.“国培”计划：</w:t>
      </w:r>
      <w:r>
        <w:rPr>
          <w:rFonts w:hint="eastAsia" w:ascii="仿宋_GB2312" w:hAnsi="仿宋_GB2312" w:eastAsia="仿宋_GB2312" w:cs="仿宋_GB2312"/>
          <w:color w:val="000000" w:themeColor="text1"/>
          <w:sz w:val="28"/>
          <w:szCs w:val="28"/>
          <w:shd w:val="clear" w:color="auto" w:fill="FFFFFF"/>
        </w:rPr>
        <w:t>即中小学教师国家级培训计划。</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24.教育“三乱”：</w:t>
      </w:r>
      <w:r>
        <w:rPr>
          <w:rFonts w:hint="eastAsia" w:ascii="仿宋_GB2312" w:hAnsi="仿宋_GB2312" w:eastAsia="仿宋_GB2312" w:cs="仿宋_GB2312"/>
          <w:color w:val="000000" w:themeColor="text1"/>
          <w:sz w:val="28"/>
          <w:szCs w:val="28"/>
        </w:rPr>
        <w:t>即乱办班、乱补课、乱收费。</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25.“四个最严”：</w:t>
      </w:r>
      <w:r>
        <w:rPr>
          <w:rFonts w:hint="eastAsia" w:ascii="仿宋_GB2312" w:hAnsi="仿宋_GB2312" w:eastAsia="仿宋_GB2312" w:cs="仿宋_GB2312"/>
          <w:color w:val="000000" w:themeColor="text1"/>
          <w:sz w:val="28"/>
          <w:szCs w:val="28"/>
        </w:rPr>
        <w:t>指用最严谨的标准、最严格的监管、最严厉的处罚、最严肃的问责来切实加强食品药品安全监管。</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26.</w:t>
      </w:r>
      <w:r>
        <w:rPr>
          <w:rFonts w:hint="eastAsia" w:ascii="黑体" w:hAnsi="黑体" w:eastAsia="黑体" w:cs="黑体"/>
          <w:color w:val="000000" w:themeColor="text1"/>
          <w:kern w:val="0"/>
          <w:sz w:val="28"/>
          <w:szCs w:val="28"/>
        </w:rPr>
        <w:t>“四个意识”：</w:t>
      </w:r>
      <w:r>
        <w:rPr>
          <w:rFonts w:hint="eastAsia" w:ascii="仿宋_GB2312" w:hAnsi="仿宋_GB2312" w:eastAsia="仿宋_GB2312" w:cs="仿宋_GB2312"/>
          <w:color w:val="000000" w:themeColor="text1"/>
          <w:kern w:val="0"/>
          <w:sz w:val="28"/>
          <w:szCs w:val="28"/>
        </w:rPr>
        <w:t>即</w:t>
      </w:r>
      <w:r>
        <w:rPr>
          <w:rFonts w:hint="eastAsia" w:ascii="仿宋_GB2312" w:hAnsi="仿宋_GB2312" w:eastAsia="仿宋_GB2312" w:cs="仿宋_GB2312"/>
          <w:color w:val="000000" w:themeColor="text1"/>
          <w:sz w:val="28"/>
          <w:szCs w:val="28"/>
        </w:rPr>
        <w:t>政治意识、大局意识、核心意识、看齐意识。</w:t>
      </w:r>
    </w:p>
    <w:p>
      <w:pPr>
        <w:spacing w:line="440" w:lineRule="exact"/>
        <w:ind w:firstLine="560" w:firstLineChars="200"/>
        <w:rPr>
          <w:rFonts w:ascii="仿宋_GB2312" w:hAnsi="仿宋_GB2312" w:eastAsia="仿宋_GB2312" w:cs="仿宋_GB2312"/>
          <w:b/>
          <w:bCs/>
          <w:color w:val="000000" w:themeColor="text1"/>
          <w:sz w:val="28"/>
          <w:szCs w:val="28"/>
        </w:rPr>
      </w:pPr>
      <w:r>
        <w:rPr>
          <w:rFonts w:hint="eastAsia" w:ascii="黑体" w:hAnsi="黑体" w:eastAsia="黑体" w:cs="黑体"/>
          <w:color w:val="000000" w:themeColor="text1"/>
          <w:sz w:val="28"/>
          <w:szCs w:val="28"/>
        </w:rPr>
        <w:t>27.</w:t>
      </w:r>
      <w:r>
        <w:rPr>
          <w:rFonts w:hint="eastAsia" w:ascii="黑体" w:hAnsi="黑体" w:eastAsia="黑体" w:cs="黑体"/>
          <w:color w:val="000000" w:themeColor="text1"/>
          <w:kern w:val="0"/>
          <w:sz w:val="28"/>
          <w:szCs w:val="28"/>
        </w:rPr>
        <w:t>“四个自信”：</w:t>
      </w:r>
      <w:r>
        <w:rPr>
          <w:rFonts w:hint="eastAsia" w:ascii="仿宋_GB2312" w:hAnsi="仿宋_GB2312" w:eastAsia="仿宋_GB2312" w:cs="仿宋_GB2312"/>
          <w:color w:val="000000" w:themeColor="text1"/>
          <w:kern w:val="0"/>
          <w:sz w:val="28"/>
          <w:szCs w:val="28"/>
        </w:rPr>
        <w:t>即</w:t>
      </w:r>
      <w:r>
        <w:rPr>
          <w:rFonts w:hint="eastAsia" w:ascii="仿宋_GB2312" w:hAnsi="仿宋_GB2312" w:eastAsia="仿宋_GB2312" w:cs="仿宋_GB2312"/>
          <w:bCs/>
          <w:color w:val="000000" w:themeColor="text1"/>
          <w:sz w:val="28"/>
          <w:szCs w:val="28"/>
        </w:rPr>
        <w:t>道路自信、理论自信、制度自信、文化自信。</w:t>
      </w:r>
    </w:p>
    <w:p>
      <w:pPr>
        <w:spacing w:line="440" w:lineRule="exact"/>
        <w:ind w:firstLine="560" w:firstLineChars="200"/>
        <w:rPr>
          <w:rFonts w:ascii="仿宋_GB2312" w:hAnsi="仿宋_GB2312" w:eastAsia="仿宋_GB2312" w:cs="仿宋_GB2312"/>
          <w:b/>
          <w:bCs/>
          <w:color w:val="000000" w:themeColor="text1"/>
          <w:kern w:val="0"/>
          <w:sz w:val="28"/>
          <w:szCs w:val="28"/>
        </w:rPr>
      </w:pPr>
      <w:r>
        <w:rPr>
          <w:rFonts w:hint="eastAsia" w:ascii="黑体" w:hAnsi="黑体" w:eastAsia="黑体" w:cs="黑体"/>
          <w:color w:val="000000" w:themeColor="text1"/>
          <w:sz w:val="28"/>
          <w:szCs w:val="28"/>
        </w:rPr>
        <w:t>28.</w:t>
      </w:r>
      <w:r>
        <w:rPr>
          <w:rFonts w:hint="eastAsia" w:ascii="黑体" w:hAnsi="黑体" w:eastAsia="黑体" w:cs="黑体"/>
          <w:color w:val="000000" w:themeColor="text1"/>
          <w:kern w:val="0"/>
          <w:sz w:val="28"/>
          <w:szCs w:val="28"/>
        </w:rPr>
        <w:t>“两个维护”：</w:t>
      </w:r>
      <w:r>
        <w:rPr>
          <w:rFonts w:hint="eastAsia" w:ascii="仿宋_GB2312" w:hAnsi="仿宋_GB2312" w:eastAsia="仿宋_GB2312" w:cs="仿宋_GB2312"/>
          <w:color w:val="000000" w:themeColor="text1"/>
          <w:kern w:val="0"/>
          <w:sz w:val="28"/>
          <w:szCs w:val="28"/>
        </w:rPr>
        <w:t>即</w:t>
      </w:r>
      <w:r>
        <w:rPr>
          <w:rFonts w:hint="eastAsia" w:ascii="仿宋_GB2312" w:hAnsi="仿宋_GB2312" w:eastAsia="仿宋_GB2312" w:cs="仿宋_GB2312"/>
          <w:color w:val="000000" w:themeColor="text1"/>
          <w:sz w:val="28"/>
          <w:szCs w:val="28"/>
        </w:rPr>
        <w:t>坚决维护习近平总书记党中央的核心、全党的核心地位，坚决维护</w:t>
      </w:r>
      <w:r>
        <w:rPr>
          <w:rFonts w:hint="eastAsia" w:ascii="仿宋_GB2312" w:hAnsi="仿宋_GB2312" w:eastAsia="仿宋_GB2312" w:cs="仿宋_GB2312"/>
          <w:color w:val="000000" w:themeColor="text1"/>
          <w:sz w:val="28"/>
          <w:szCs w:val="28"/>
          <w:shd w:val="clear" w:color="auto" w:fill="FFFFFF"/>
        </w:rPr>
        <w:t>以习近平同志为核心的</w:t>
      </w:r>
      <w:r>
        <w:rPr>
          <w:rFonts w:hint="eastAsia" w:ascii="仿宋_GB2312" w:hAnsi="仿宋_GB2312" w:eastAsia="仿宋_GB2312" w:cs="仿宋_GB2312"/>
          <w:color w:val="000000" w:themeColor="text1"/>
          <w:sz w:val="28"/>
          <w:szCs w:val="28"/>
        </w:rPr>
        <w:t>党中央权威和集中统一领导。</w:t>
      </w:r>
    </w:p>
    <w:p>
      <w:pPr>
        <w:spacing w:line="440" w:lineRule="exact"/>
        <w:ind w:firstLine="560" w:firstLineChars="200"/>
        <w:rPr>
          <w:rFonts w:ascii="仿宋_GB2312" w:hAnsi="仿宋_GB2312" w:eastAsia="仿宋_GB2312" w:cs="仿宋_GB2312"/>
          <w:b/>
          <w:bCs/>
          <w:color w:val="000000" w:themeColor="text1"/>
          <w:kern w:val="0"/>
          <w:sz w:val="28"/>
          <w:szCs w:val="28"/>
        </w:rPr>
      </w:pPr>
      <w:r>
        <w:rPr>
          <w:rFonts w:hint="eastAsia" w:ascii="黑体" w:hAnsi="黑体" w:eastAsia="黑体" w:cs="黑体"/>
          <w:color w:val="000000" w:themeColor="text1"/>
          <w:kern w:val="0"/>
          <w:sz w:val="28"/>
          <w:szCs w:val="28"/>
        </w:rPr>
        <w:t>29.“不忘初心</w:t>
      </w:r>
      <w:r>
        <w:rPr>
          <w:rFonts w:hint="eastAsia" w:ascii="黑体" w:hAnsi="黑体" w:eastAsia="黑体" w:cs="黑体"/>
          <w:color w:val="000000" w:themeColor="text1"/>
          <w:kern w:val="0"/>
          <w:sz w:val="28"/>
          <w:szCs w:val="28"/>
          <w:lang w:eastAsia="zh-CN"/>
        </w:rPr>
        <w:t>、</w:t>
      </w:r>
      <w:r>
        <w:rPr>
          <w:rFonts w:hint="eastAsia" w:ascii="黑体" w:hAnsi="黑体" w:eastAsia="黑体" w:cs="黑体"/>
          <w:color w:val="000000" w:themeColor="text1"/>
          <w:kern w:val="0"/>
          <w:sz w:val="28"/>
          <w:szCs w:val="28"/>
        </w:rPr>
        <w:t>牢记使命”主题教育：</w:t>
      </w:r>
      <w:r>
        <w:rPr>
          <w:rFonts w:hint="eastAsia" w:ascii="仿宋_GB2312" w:hAnsi="仿宋_GB2312" w:eastAsia="仿宋_GB2312" w:cs="仿宋_GB2312"/>
          <w:color w:val="000000" w:themeColor="text1"/>
          <w:sz w:val="28"/>
          <w:szCs w:val="28"/>
          <w:shd w:val="clear" w:color="auto" w:fill="FFFFFF"/>
        </w:rPr>
        <w:t>是在全党范围内开展的主题教育，是推动全党更加自觉地为实现新时代党的历史使命不懈奋斗的重要内容。</w:t>
      </w:r>
    </w:p>
    <w:p>
      <w:pPr>
        <w:spacing w:line="440" w:lineRule="exact"/>
        <w:ind w:firstLine="560" w:firstLineChars="200"/>
        <w:rPr>
          <w:rFonts w:ascii="仿宋_GB2312" w:hAnsi="仿宋_GB2312" w:eastAsia="仿宋_GB2312" w:cs="仿宋_GB2312"/>
          <w:b/>
          <w:bCs/>
          <w:color w:val="000000" w:themeColor="text1"/>
          <w:kern w:val="0"/>
          <w:sz w:val="28"/>
          <w:szCs w:val="28"/>
        </w:rPr>
      </w:pPr>
      <w:r>
        <w:rPr>
          <w:rFonts w:hint="eastAsia" w:ascii="黑体" w:hAnsi="黑体" w:eastAsia="黑体" w:cs="黑体"/>
          <w:color w:val="000000" w:themeColor="text1"/>
          <w:kern w:val="0"/>
          <w:sz w:val="28"/>
          <w:szCs w:val="28"/>
        </w:rPr>
        <w:t>30.“七种能力”：</w:t>
      </w:r>
      <w:r>
        <w:rPr>
          <w:rFonts w:hint="eastAsia" w:ascii="仿宋_GB2312" w:hAnsi="仿宋_GB2312" w:eastAsia="仿宋_GB2312" w:cs="仿宋_GB2312"/>
          <w:color w:val="000000" w:themeColor="text1"/>
          <w:kern w:val="0"/>
          <w:sz w:val="28"/>
          <w:szCs w:val="28"/>
        </w:rPr>
        <w:t>指习近平总书记提出的干部特别是年轻干部要具有</w:t>
      </w:r>
      <w:r>
        <w:rPr>
          <w:rFonts w:hint="eastAsia" w:ascii="仿宋_GB2312" w:hAnsi="仿宋_GB2312" w:eastAsia="仿宋_GB2312" w:cs="仿宋_GB2312"/>
          <w:color w:val="000000" w:themeColor="text1"/>
          <w:sz w:val="28"/>
          <w:szCs w:val="28"/>
        </w:rPr>
        <w:t>政治能力、调查研究能力、科学决策能力、改革攻坚能力、应急处突能力、群众工作能力、抓落实能力。</w:t>
      </w:r>
    </w:p>
    <w:p>
      <w:pPr>
        <w:spacing w:line="440" w:lineRule="exact"/>
        <w:ind w:firstLine="560" w:firstLineChars="200"/>
        <w:rPr>
          <w:color w:val="000000" w:themeColor="text1"/>
        </w:rPr>
      </w:pPr>
      <w:r>
        <w:rPr>
          <w:rFonts w:hint="eastAsia" w:ascii="黑体" w:hAnsi="黑体" w:eastAsia="黑体" w:cs="黑体"/>
          <w:color w:val="000000" w:themeColor="text1"/>
          <w:kern w:val="0"/>
          <w:sz w:val="28"/>
          <w:szCs w:val="28"/>
        </w:rPr>
        <w:t>31.“走流程”：</w:t>
      </w:r>
      <w:r>
        <w:rPr>
          <w:rFonts w:hint="eastAsia" w:ascii="仿宋_GB2312" w:hAnsi="仿宋_GB2312" w:eastAsia="仿宋_GB2312" w:cs="仿宋_GB2312"/>
          <w:color w:val="000000" w:themeColor="text1"/>
          <w:kern w:val="0"/>
          <w:sz w:val="28"/>
          <w:szCs w:val="28"/>
        </w:rPr>
        <w:t>指黑龙江省</w:t>
      </w:r>
      <w:r>
        <w:rPr>
          <w:rFonts w:hint="eastAsia" w:ascii="仿宋_GB2312" w:hAnsi="仿宋_GB2312" w:eastAsia="仿宋_GB2312" w:cs="仿宋_GB2312"/>
          <w:color w:val="000000" w:themeColor="text1"/>
          <w:sz w:val="28"/>
          <w:szCs w:val="28"/>
          <w:shd w:val="clear" w:color="auto" w:fill="FFFFFF"/>
        </w:rPr>
        <w:t>开展的“领导干部走流程”活动，督促领导干部坚持问题导向，往实里走、往深里走，到办事现场、基层一线体验办事流程，解决民生难题。</w:t>
      </w:r>
    </w:p>
    <w:sectPr>
      <w:footerReference r:id="rId3" w:type="default"/>
      <w:pgSz w:w="11906" w:h="16838"/>
      <w:pgMar w:top="1701" w:right="1474" w:bottom="1361" w:left="1474" w:header="851" w:footer="56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YWM3ZTU5NThkZjU1ZGE1MTc2ZTQ0N2NkNTVhNmUifQ=="/>
  </w:docVars>
  <w:rsids>
    <w:rsidRoot w:val="35372A41"/>
    <w:rsid w:val="000A407D"/>
    <w:rsid w:val="000F14BF"/>
    <w:rsid w:val="00131D14"/>
    <w:rsid w:val="002E0DCA"/>
    <w:rsid w:val="003C7724"/>
    <w:rsid w:val="004304E5"/>
    <w:rsid w:val="005A13D0"/>
    <w:rsid w:val="005D023B"/>
    <w:rsid w:val="006B7621"/>
    <w:rsid w:val="006F0970"/>
    <w:rsid w:val="00747F4C"/>
    <w:rsid w:val="007B56FF"/>
    <w:rsid w:val="007D6081"/>
    <w:rsid w:val="00927F88"/>
    <w:rsid w:val="00943EB2"/>
    <w:rsid w:val="009E339C"/>
    <w:rsid w:val="00A53891"/>
    <w:rsid w:val="00A73552"/>
    <w:rsid w:val="00CF03F0"/>
    <w:rsid w:val="00D0105B"/>
    <w:rsid w:val="00E46F1D"/>
    <w:rsid w:val="00E903AE"/>
    <w:rsid w:val="00F15FA6"/>
    <w:rsid w:val="00FA53D9"/>
    <w:rsid w:val="01065490"/>
    <w:rsid w:val="01082F2B"/>
    <w:rsid w:val="01143A30"/>
    <w:rsid w:val="011844DC"/>
    <w:rsid w:val="01342F4B"/>
    <w:rsid w:val="01700346"/>
    <w:rsid w:val="017366AE"/>
    <w:rsid w:val="01812490"/>
    <w:rsid w:val="0186517A"/>
    <w:rsid w:val="019D32E0"/>
    <w:rsid w:val="019F0415"/>
    <w:rsid w:val="01B95EB0"/>
    <w:rsid w:val="01BF7EE9"/>
    <w:rsid w:val="02021B7D"/>
    <w:rsid w:val="025C0A01"/>
    <w:rsid w:val="0263561C"/>
    <w:rsid w:val="02776A6A"/>
    <w:rsid w:val="02825791"/>
    <w:rsid w:val="028A45B5"/>
    <w:rsid w:val="02A25E27"/>
    <w:rsid w:val="02BD5FC9"/>
    <w:rsid w:val="02CE1180"/>
    <w:rsid w:val="02DC7793"/>
    <w:rsid w:val="030536AB"/>
    <w:rsid w:val="03992ED3"/>
    <w:rsid w:val="03B33AA0"/>
    <w:rsid w:val="03C92609"/>
    <w:rsid w:val="03EE33B7"/>
    <w:rsid w:val="03F6753C"/>
    <w:rsid w:val="03F91E27"/>
    <w:rsid w:val="04041D8E"/>
    <w:rsid w:val="041E3B1C"/>
    <w:rsid w:val="04320D50"/>
    <w:rsid w:val="046422A2"/>
    <w:rsid w:val="04AF362B"/>
    <w:rsid w:val="050C403C"/>
    <w:rsid w:val="05120205"/>
    <w:rsid w:val="051B58CD"/>
    <w:rsid w:val="0531048B"/>
    <w:rsid w:val="05577582"/>
    <w:rsid w:val="05580140"/>
    <w:rsid w:val="056D0CE8"/>
    <w:rsid w:val="05775A05"/>
    <w:rsid w:val="058F1AF8"/>
    <w:rsid w:val="05916002"/>
    <w:rsid w:val="05AF5165"/>
    <w:rsid w:val="05CB7A5F"/>
    <w:rsid w:val="05D420CE"/>
    <w:rsid w:val="05DC0333"/>
    <w:rsid w:val="0619297C"/>
    <w:rsid w:val="065C2FEE"/>
    <w:rsid w:val="06623E8A"/>
    <w:rsid w:val="06745456"/>
    <w:rsid w:val="067C1F86"/>
    <w:rsid w:val="067C6720"/>
    <w:rsid w:val="067D0295"/>
    <w:rsid w:val="06BE1EDA"/>
    <w:rsid w:val="06E20F7C"/>
    <w:rsid w:val="06E65FCD"/>
    <w:rsid w:val="06EA6164"/>
    <w:rsid w:val="06FA5627"/>
    <w:rsid w:val="07034197"/>
    <w:rsid w:val="071B62F1"/>
    <w:rsid w:val="071D543E"/>
    <w:rsid w:val="072D4F2A"/>
    <w:rsid w:val="074A0A07"/>
    <w:rsid w:val="074E065B"/>
    <w:rsid w:val="07917AA9"/>
    <w:rsid w:val="079A3021"/>
    <w:rsid w:val="07B57B83"/>
    <w:rsid w:val="07EC390D"/>
    <w:rsid w:val="08160DE6"/>
    <w:rsid w:val="08301606"/>
    <w:rsid w:val="08511E86"/>
    <w:rsid w:val="087A4615"/>
    <w:rsid w:val="088E7FD2"/>
    <w:rsid w:val="08A14188"/>
    <w:rsid w:val="08AC344A"/>
    <w:rsid w:val="08C8564F"/>
    <w:rsid w:val="08CB1EAD"/>
    <w:rsid w:val="08E04C12"/>
    <w:rsid w:val="09047D52"/>
    <w:rsid w:val="092F7530"/>
    <w:rsid w:val="094736C1"/>
    <w:rsid w:val="095E11CE"/>
    <w:rsid w:val="099E04DD"/>
    <w:rsid w:val="09A512B5"/>
    <w:rsid w:val="09A84591"/>
    <w:rsid w:val="09B5645B"/>
    <w:rsid w:val="09BF3B1A"/>
    <w:rsid w:val="0A004C3D"/>
    <w:rsid w:val="0A342DBD"/>
    <w:rsid w:val="0A361716"/>
    <w:rsid w:val="0A3F7F8B"/>
    <w:rsid w:val="0A40127B"/>
    <w:rsid w:val="0A6A3F0F"/>
    <w:rsid w:val="0A6C6C41"/>
    <w:rsid w:val="0A80546F"/>
    <w:rsid w:val="0A8B05C1"/>
    <w:rsid w:val="0AA4020C"/>
    <w:rsid w:val="0ABE3FC6"/>
    <w:rsid w:val="0AEF659C"/>
    <w:rsid w:val="0B3D0D1A"/>
    <w:rsid w:val="0B6026B4"/>
    <w:rsid w:val="0B7A087C"/>
    <w:rsid w:val="0B8736A7"/>
    <w:rsid w:val="0B904041"/>
    <w:rsid w:val="0B991A2B"/>
    <w:rsid w:val="0BA5306F"/>
    <w:rsid w:val="0BA84D32"/>
    <w:rsid w:val="0BB773CE"/>
    <w:rsid w:val="0BD86371"/>
    <w:rsid w:val="0BFA6B76"/>
    <w:rsid w:val="0C1763DC"/>
    <w:rsid w:val="0C5B56D7"/>
    <w:rsid w:val="0C6B1A67"/>
    <w:rsid w:val="0C756190"/>
    <w:rsid w:val="0C844EC2"/>
    <w:rsid w:val="0C8C301F"/>
    <w:rsid w:val="0C977DD3"/>
    <w:rsid w:val="0CB2001E"/>
    <w:rsid w:val="0CF025CD"/>
    <w:rsid w:val="0CFD6A1C"/>
    <w:rsid w:val="0D063A28"/>
    <w:rsid w:val="0D1F479A"/>
    <w:rsid w:val="0D285ECA"/>
    <w:rsid w:val="0D414D15"/>
    <w:rsid w:val="0D53784B"/>
    <w:rsid w:val="0D65164A"/>
    <w:rsid w:val="0D6B2D34"/>
    <w:rsid w:val="0D9C0B24"/>
    <w:rsid w:val="0D9F3B41"/>
    <w:rsid w:val="0E1A5AD0"/>
    <w:rsid w:val="0E473929"/>
    <w:rsid w:val="0E543A4E"/>
    <w:rsid w:val="0E692CB0"/>
    <w:rsid w:val="0E80524C"/>
    <w:rsid w:val="0E805F2C"/>
    <w:rsid w:val="0E9A1984"/>
    <w:rsid w:val="0EA5605C"/>
    <w:rsid w:val="0EB037C1"/>
    <w:rsid w:val="0ED2626B"/>
    <w:rsid w:val="0EFF4AC1"/>
    <w:rsid w:val="0F056266"/>
    <w:rsid w:val="0F0C1414"/>
    <w:rsid w:val="0F1F3B46"/>
    <w:rsid w:val="0F3347FC"/>
    <w:rsid w:val="0F38362B"/>
    <w:rsid w:val="0F651302"/>
    <w:rsid w:val="10260C17"/>
    <w:rsid w:val="1050205B"/>
    <w:rsid w:val="105A0456"/>
    <w:rsid w:val="10893C97"/>
    <w:rsid w:val="108C27D3"/>
    <w:rsid w:val="10B90097"/>
    <w:rsid w:val="10D63376"/>
    <w:rsid w:val="10EA2A5E"/>
    <w:rsid w:val="10FC18AC"/>
    <w:rsid w:val="115A059A"/>
    <w:rsid w:val="11C000D6"/>
    <w:rsid w:val="11CC6156"/>
    <w:rsid w:val="11FC2200"/>
    <w:rsid w:val="122A32ED"/>
    <w:rsid w:val="123B30CB"/>
    <w:rsid w:val="124C369E"/>
    <w:rsid w:val="125D51A7"/>
    <w:rsid w:val="12AE4727"/>
    <w:rsid w:val="12E2002B"/>
    <w:rsid w:val="12F256A1"/>
    <w:rsid w:val="1305567C"/>
    <w:rsid w:val="13502184"/>
    <w:rsid w:val="13810FEE"/>
    <w:rsid w:val="138757C1"/>
    <w:rsid w:val="139E7D5C"/>
    <w:rsid w:val="13B46E74"/>
    <w:rsid w:val="13B51B7B"/>
    <w:rsid w:val="13F720FF"/>
    <w:rsid w:val="13FD309B"/>
    <w:rsid w:val="140F0A2C"/>
    <w:rsid w:val="141A3BF3"/>
    <w:rsid w:val="14211ECC"/>
    <w:rsid w:val="142C6F84"/>
    <w:rsid w:val="14BF62AB"/>
    <w:rsid w:val="14CF7C38"/>
    <w:rsid w:val="15A27020"/>
    <w:rsid w:val="15BE59B4"/>
    <w:rsid w:val="15D237DC"/>
    <w:rsid w:val="1611635B"/>
    <w:rsid w:val="161A3136"/>
    <w:rsid w:val="161A445D"/>
    <w:rsid w:val="163718D4"/>
    <w:rsid w:val="16397584"/>
    <w:rsid w:val="16415AFE"/>
    <w:rsid w:val="165237AF"/>
    <w:rsid w:val="169C3493"/>
    <w:rsid w:val="16EB6F2B"/>
    <w:rsid w:val="17132EF1"/>
    <w:rsid w:val="17380DF8"/>
    <w:rsid w:val="17B523E5"/>
    <w:rsid w:val="17CE25A1"/>
    <w:rsid w:val="17D2343F"/>
    <w:rsid w:val="17FC072D"/>
    <w:rsid w:val="17FD0200"/>
    <w:rsid w:val="18035FC4"/>
    <w:rsid w:val="18060624"/>
    <w:rsid w:val="18893070"/>
    <w:rsid w:val="188C79B7"/>
    <w:rsid w:val="18B67818"/>
    <w:rsid w:val="18B90680"/>
    <w:rsid w:val="18C35513"/>
    <w:rsid w:val="1906209A"/>
    <w:rsid w:val="19153084"/>
    <w:rsid w:val="191C610C"/>
    <w:rsid w:val="197A5B15"/>
    <w:rsid w:val="19987A8D"/>
    <w:rsid w:val="19BD44CA"/>
    <w:rsid w:val="19CB3445"/>
    <w:rsid w:val="19DC4141"/>
    <w:rsid w:val="1A0C4F37"/>
    <w:rsid w:val="1A45198A"/>
    <w:rsid w:val="1A610EC3"/>
    <w:rsid w:val="1A7200A4"/>
    <w:rsid w:val="1A904585"/>
    <w:rsid w:val="1A96056D"/>
    <w:rsid w:val="1AAA15BC"/>
    <w:rsid w:val="1AC065B1"/>
    <w:rsid w:val="1AC7209E"/>
    <w:rsid w:val="1B357F9E"/>
    <w:rsid w:val="1B3E624D"/>
    <w:rsid w:val="1B4D5DD1"/>
    <w:rsid w:val="1B8E3F2C"/>
    <w:rsid w:val="1B9C57D7"/>
    <w:rsid w:val="1C235102"/>
    <w:rsid w:val="1C2C3AA9"/>
    <w:rsid w:val="1C302E0F"/>
    <w:rsid w:val="1C616BEE"/>
    <w:rsid w:val="1CBF5194"/>
    <w:rsid w:val="1CC5774B"/>
    <w:rsid w:val="1CCA5D2E"/>
    <w:rsid w:val="1CD5147F"/>
    <w:rsid w:val="1CEE1795"/>
    <w:rsid w:val="1D0B4DA2"/>
    <w:rsid w:val="1D1A5165"/>
    <w:rsid w:val="1D393498"/>
    <w:rsid w:val="1D515149"/>
    <w:rsid w:val="1D83526D"/>
    <w:rsid w:val="1DDE1D47"/>
    <w:rsid w:val="1DE70E9A"/>
    <w:rsid w:val="1DF77A76"/>
    <w:rsid w:val="1E240D31"/>
    <w:rsid w:val="1E6F5F86"/>
    <w:rsid w:val="1E722C8A"/>
    <w:rsid w:val="1E7A03AE"/>
    <w:rsid w:val="1E96764D"/>
    <w:rsid w:val="1EA55923"/>
    <w:rsid w:val="1EA80658"/>
    <w:rsid w:val="1EC051D0"/>
    <w:rsid w:val="1EED1FF0"/>
    <w:rsid w:val="1EF12FB5"/>
    <w:rsid w:val="1F016D67"/>
    <w:rsid w:val="1F314F89"/>
    <w:rsid w:val="1F3A32FB"/>
    <w:rsid w:val="1F620AD1"/>
    <w:rsid w:val="1F6465B5"/>
    <w:rsid w:val="1F6B30A0"/>
    <w:rsid w:val="1F723B09"/>
    <w:rsid w:val="1F927751"/>
    <w:rsid w:val="1F9C1E45"/>
    <w:rsid w:val="1FF82C9D"/>
    <w:rsid w:val="20207C57"/>
    <w:rsid w:val="204215E1"/>
    <w:rsid w:val="2043116E"/>
    <w:rsid w:val="20455509"/>
    <w:rsid w:val="20A13475"/>
    <w:rsid w:val="20B12BDF"/>
    <w:rsid w:val="20BD4A20"/>
    <w:rsid w:val="21062E17"/>
    <w:rsid w:val="21182A11"/>
    <w:rsid w:val="211D0BF8"/>
    <w:rsid w:val="21201DD4"/>
    <w:rsid w:val="21611E29"/>
    <w:rsid w:val="21645BC0"/>
    <w:rsid w:val="217103B2"/>
    <w:rsid w:val="218A7EF2"/>
    <w:rsid w:val="21E14551"/>
    <w:rsid w:val="224731C8"/>
    <w:rsid w:val="22AA5FFC"/>
    <w:rsid w:val="22CE4899"/>
    <w:rsid w:val="22E05599"/>
    <w:rsid w:val="22E244E2"/>
    <w:rsid w:val="22E627D8"/>
    <w:rsid w:val="22EB2C72"/>
    <w:rsid w:val="239058E4"/>
    <w:rsid w:val="23983597"/>
    <w:rsid w:val="23B10DE0"/>
    <w:rsid w:val="23B23810"/>
    <w:rsid w:val="23C95899"/>
    <w:rsid w:val="23D140F2"/>
    <w:rsid w:val="23D307AC"/>
    <w:rsid w:val="23DB7153"/>
    <w:rsid w:val="23F0560A"/>
    <w:rsid w:val="24116E5D"/>
    <w:rsid w:val="24336CB5"/>
    <w:rsid w:val="24595AA5"/>
    <w:rsid w:val="2486167D"/>
    <w:rsid w:val="24AA71D3"/>
    <w:rsid w:val="24BB67EA"/>
    <w:rsid w:val="24BC79DC"/>
    <w:rsid w:val="24C42F03"/>
    <w:rsid w:val="24D30B75"/>
    <w:rsid w:val="24E66CB2"/>
    <w:rsid w:val="25206284"/>
    <w:rsid w:val="25506E9B"/>
    <w:rsid w:val="25642D6B"/>
    <w:rsid w:val="25944C8C"/>
    <w:rsid w:val="25A7712B"/>
    <w:rsid w:val="25F27953"/>
    <w:rsid w:val="25FC6D0F"/>
    <w:rsid w:val="26421457"/>
    <w:rsid w:val="26460274"/>
    <w:rsid w:val="26900ECA"/>
    <w:rsid w:val="27216284"/>
    <w:rsid w:val="272335E7"/>
    <w:rsid w:val="27352275"/>
    <w:rsid w:val="273E7681"/>
    <w:rsid w:val="27673354"/>
    <w:rsid w:val="277824A4"/>
    <w:rsid w:val="278779D1"/>
    <w:rsid w:val="278C4646"/>
    <w:rsid w:val="27A05C72"/>
    <w:rsid w:val="27A60FC0"/>
    <w:rsid w:val="27A8392C"/>
    <w:rsid w:val="27C27D61"/>
    <w:rsid w:val="27D45B11"/>
    <w:rsid w:val="28124472"/>
    <w:rsid w:val="284A315F"/>
    <w:rsid w:val="285C14C0"/>
    <w:rsid w:val="289C23F7"/>
    <w:rsid w:val="28C66C62"/>
    <w:rsid w:val="28CD5AD5"/>
    <w:rsid w:val="28D01EDD"/>
    <w:rsid w:val="29002DAD"/>
    <w:rsid w:val="292B2569"/>
    <w:rsid w:val="29840BE6"/>
    <w:rsid w:val="29C96FA8"/>
    <w:rsid w:val="29D2315E"/>
    <w:rsid w:val="29E86129"/>
    <w:rsid w:val="2A2C6631"/>
    <w:rsid w:val="2A470AB5"/>
    <w:rsid w:val="2A8F095F"/>
    <w:rsid w:val="2A9B41E8"/>
    <w:rsid w:val="2AAE47AD"/>
    <w:rsid w:val="2AB61554"/>
    <w:rsid w:val="2AE665B1"/>
    <w:rsid w:val="2AEE7162"/>
    <w:rsid w:val="2B5D563F"/>
    <w:rsid w:val="2B610A0F"/>
    <w:rsid w:val="2B6B6314"/>
    <w:rsid w:val="2B6E3113"/>
    <w:rsid w:val="2BB61EC8"/>
    <w:rsid w:val="2BCB4716"/>
    <w:rsid w:val="2C095F65"/>
    <w:rsid w:val="2C254AD8"/>
    <w:rsid w:val="2C405501"/>
    <w:rsid w:val="2C5E074E"/>
    <w:rsid w:val="2C7F236E"/>
    <w:rsid w:val="2CA907FD"/>
    <w:rsid w:val="2CB71CC9"/>
    <w:rsid w:val="2CCC2832"/>
    <w:rsid w:val="2CCF570B"/>
    <w:rsid w:val="2CE1409F"/>
    <w:rsid w:val="2D391650"/>
    <w:rsid w:val="2D420045"/>
    <w:rsid w:val="2D6905FC"/>
    <w:rsid w:val="2D6B02D0"/>
    <w:rsid w:val="2DA3052D"/>
    <w:rsid w:val="2DA71E40"/>
    <w:rsid w:val="2DB622AB"/>
    <w:rsid w:val="2DC213DB"/>
    <w:rsid w:val="2DC368C3"/>
    <w:rsid w:val="2DC446F5"/>
    <w:rsid w:val="2DE251AF"/>
    <w:rsid w:val="2E2D07C3"/>
    <w:rsid w:val="2E5531A0"/>
    <w:rsid w:val="2E6D53AA"/>
    <w:rsid w:val="2E8773DC"/>
    <w:rsid w:val="2E8E35AC"/>
    <w:rsid w:val="2E9658E0"/>
    <w:rsid w:val="2EAC3231"/>
    <w:rsid w:val="2EDA058B"/>
    <w:rsid w:val="2EEE2667"/>
    <w:rsid w:val="2F067E08"/>
    <w:rsid w:val="2F0A4BA7"/>
    <w:rsid w:val="2F0A77D0"/>
    <w:rsid w:val="2F3E7533"/>
    <w:rsid w:val="2F8C1588"/>
    <w:rsid w:val="2F9C1241"/>
    <w:rsid w:val="2FAE55A3"/>
    <w:rsid w:val="2FCC71F8"/>
    <w:rsid w:val="2FFC5974"/>
    <w:rsid w:val="300E4F48"/>
    <w:rsid w:val="30435065"/>
    <w:rsid w:val="304A5E8A"/>
    <w:rsid w:val="30DD1E46"/>
    <w:rsid w:val="30DD34A0"/>
    <w:rsid w:val="30E622ED"/>
    <w:rsid w:val="31047132"/>
    <w:rsid w:val="3118408C"/>
    <w:rsid w:val="312C2A5E"/>
    <w:rsid w:val="3166586A"/>
    <w:rsid w:val="31900670"/>
    <w:rsid w:val="31AA3E55"/>
    <w:rsid w:val="31AB4A66"/>
    <w:rsid w:val="31AE1EEE"/>
    <w:rsid w:val="31F36AC2"/>
    <w:rsid w:val="32007799"/>
    <w:rsid w:val="32110F8F"/>
    <w:rsid w:val="323F540C"/>
    <w:rsid w:val="3254267D"/>
    <w:rsid w:val="32973E13"/>
    <w:rsid w:val="32A63591"/>
    <w:rsid w:val="32B54010"/>
    <w:rsid w:val="32CD7AD5"/>
    <w:rsid w:val="32D36ADB"/>
    <w:rsid w:val="32DD76B4"/>
    <w:rsid w:val="32DF7585"/>
    <w:rsid w:val="32E118F2"/>
    <w:rsid w:val="32E5369F"/>
    <w:rsid w:val="334E1185"/>
    <w:rsid w:val="33695A4F"/>
    <w:rsid w:val="3379735C"/>
    <w:rsid w:val="339E5608"/>
    <w:rsid w:val="339F362E"/>
    <w:rsid w:val="33B14030"/>
    <w:rsid w:val="33C86572"/>
    <w:rsid w:val="33DB4456"/>
    <w:rsid w:val="33E108B6"/>
    <w:rsid w:val="33EE6074"/>
    <w:rsid w:val="343C0A97"/>
    <w:rsid w:val="344229A5"/>
    <w:rsid w:val="345D2E99"/>
    <w:rsid w:val="345F664F"/>
    <w:rsid w:val="34616DCB"/>
    <w:rsid w:val="3490445A"/>
    <w:rsid w:val="349511A2"/>
    <w:rsid w:val="34A11B56"/>
    <w:rsid w:val="34B03EA1"/>
    <w:rsid w:val="34B66180"/>
    <w:rsid w:val="34BF6E13"/>
    <w:rsid w:val="34D1099B"/>
    <w:rsid w:val="351F0FA4"/>
    <w:rsid w:val="352C143C"/>
    <w:rsid w:val="35372A41"/>
    <w:rsid w:val="354B4846"/>
    <w:rsid w:val="3574766E"/>
    <w:rsid w:val="35A00A3A"/>
    <w:rsid w:val="35AE75EB"/>
    <w:rsid w:val="35B43921"/>
    <w:rsid w:val="35BA1B3E"/>
    <w:rsid w:val="35C7764B"/>
    <w:rsid w:val="35CB7AD9"/>
    <w:rsid w:val="35E7642B"/>
    <w:rsid w:val="360B2927"/>
    <w:rsid w:val="36184875"/>
    <w:rsid w:val="363344DF"/>
    <w:rsid w:val="363A1E73"/>
    <w:rsid w:val="364A7671"/>
    <w:rsid w:val="365B5071"/>
    <w:rsid w:val="36890B16"/>
    <w:rsid w:val="36D1123F"/>
    <w:rsid w:val="36D90090"/>
    <w:rsid w:val="36D949DC"/>
    <w:rsid w:val="376269C7"/>
    <w:rsid w:val="37923166"/>
    <w:rsid w:val="37A06079"/>
    <w:rsid w:val="37B27C87"/>
    <w:rsid w:val="37B74CCD"/>
    <w:rsid w:val="37C31281"/>
    <w:rsid w:val="380F18A7"/>
    <w:rsid w:val="38134CB8"/>
    <w:rsid w:val="38191D46"/>
    <w:rsid w:val="381E64BE"/>
    <w:rsid w:val="3848215C"/>
    <w:rsid w:val="3877173D"/>
    <w:rsid w:val="38AA6225"/>
    <w:rsid w:val="38C72A35"/>
    <w:rsid w:val="38E90565"/>
    <w:rsid w:val="390244F6"/>
    <w:rsid w:val="390A4FA0"/>
    <w:rsid w:val="39444A3F"/>
    <w:rsid w:val="397F4D49"/>
    <w:rsid w:val="39CA224D"/>
    <w:rsid w:val="39D9218D"/>
    <w:rsid w:val="3A003FE4"/>
    <w:rsid w:val="3A10026A"/>
    <w:rsid w:val="3A3F5915"/>
    <w:rsid w:val="3A487577"/>
    <w:rsid w:val="3A827FCB"/>
    <w:rsid w:val="3AAF18D4"/>
    <w:rsid w:val="3AB571C7"/>
    <w:rsid w:val="3AC037E5"/>
    <w:rsid w:val="3ACD1A4A"/>
    <w:rsid w:val="3B0C6A50"/>
    <w:rsid w:val="3B124832"/>
    <w:rsid w:val="3B434232"/>
    <w:rsid w:val="3B6E3919"/>
    <w:rsid w:val="3B8D35CD"/>
    <w:rsid w:val="3BA85042"/>
    <w:rsid w:val="3BD455B2"/>
    <w:rsid w:val="3BDB0C9E"/>
    <w:rsid w:val="3BF33E5A"/>
    <w:rsid w:val="3C0A362F"/>
    <w:rsid w:val="3C11097E"/>
    <w:rsid w:val="3C3117AD"/>
    <w:rsid w:val="3C5E7E59"/>
    <w:rsid w:val="3C615475"/>
    <w:rsid w:val="3C713F23"/>
    <w:rsid w:val="3C8F7347"/>
    <w:rsid w:val="3C954D49"/>
    <w:rsid w:val="3CA42DFD"/>
    <w:rsid w:val="3CD25206"/>
    <w:rsid w:val="3CD30499"/>
    <w:rsid w:val="3CDB4FB8"/>
    <w:rsid w:val="3CE74792"/>
    <w:rsid w:val="3CEE1A9C"/>
    <w:rsid w:val="3CFB298B"/>
    <w:rsid w:val="3D053F83"/>
    <w:rsid w:val="3D0D5831"/>
    <w:rsid w:val="3D366807"/>
    <w:rsid w:val="3D487168"/>
    <w:rsid w:val="3D494369"/>
    <w:rsid w:val="3DAD28F7"/>
    <w:rsid w:val="3DFD58E3"/>
    <w:rsid w:val="3E0F57B5"/>
    <w:rsid w:val="3E231CAE"/>
    <w:rsid w:val="3E285156"/>
    <w:rsid w:val="3E2906BA"/>
    <w:rsid w:val="3E3048CA"/>
    <w:rsid w:val="3E3D0D37"/>
    <w:rsid w:val="3E5A1D38"/>
    <w:rsid w:val="3E5B274F"/>
    <w:rsid w:val="3E7E7E48"/>
    <w:rsid w:val="3E7F264C"/>
    <w:rsid w:val="3EA23458"/>
    <w:rsid w:val="3EBA1542"/>
    <w:rsid w:val="3EC25E40"/>
    <w:rsid w:val="3ED6737C"/>
    <w:rsid w:val="3EEB7EB0"/>
    <w:rsid w:val="3EF034D1"/>
    <w:rsid w:val="3EFD23CE"/>
    <w:rsid w:val="3EFE1340"/>
    <w:rsid w:val="3F112523"/>
    <w:rsid w:val="3F123F9C"/>
    <w:rsid w:val="3F2D4B4A"/>
    <w:rsid w:val="3F3A2768"/>
    <w:rsid w:val="3F530FED"/>
    <w:rsid w:val="3F827F71"/>
    <w:rsid w:val="3F91353F"/>
    <w:rsid w:val="3FB1113A"/>
    <w:rsid w:val="3FB17081"/>
    <w:rsid w:val="3FBC2B8B"/>
    <w:rsid w:val="3FE32147"/>
    <w:rsid w:val="407A3EB7"/>
    <w:rsid w:val="40A03782"/>
    <w:rsid w:val="40B32E7E"/>
    <w:rsid w:val="40D90D5F"/>
    <w:rsid w:val="40FC274F"/>
    <w:rsid w:val="40FD7679"/>
    <w:rsid w:val="4127281F"/>
    <w:rsid w:val="41621345"/>
    <w:rsid w:val="41694B2F"/>
    <w:rsid w:val="416B480C"/>
    <w:rsid w:val="41AA2D39"/>
    <w:rsid w:val="421F28AB"/>
    <w:rsid w:val="423E5355"/>
    <w:rsid w:val="424B0D3D"/>
    <w:rsid w:val="42583F1E"/>
    <w:rsid w:val="42727DDC"/>
    <w:rsid w:val="427B5FD6"/>
    <w:rsid w:val="42BF7B8D"/>
    <w:rsid w:val="42F50F65"/>
    <w:rsid w:val="431B5047"/>
    <w:rsid w:val="43832DBC"/>
    <w:rsid w:val="43972BD5"/>
    <w:rsid w:val="43A750FB"/>
    <w:rsid w:val="43A826E4"/>
    <w:rsid w:val="43AB5D0B"/>
    <w:rsid w:val="43EF0F5B"/>
    <w:rsid w:val="440F3D57"/>
    <w:rsid w:val="44124373"/>
    <w:rsid w:val="441859AC"/>
    <w:rsid w:val="44354B6E"/>
    <w:rsid w:val="444A10E9"/>
    <w:rsid w:val="44506BFF"/>
    <w:rsid w:val="4484374C"/>
    <w:rsid w:val="448851D7"/>
    <w:rsid w:val="44926642"/>
    <w:rsid w:val="449675FF"/>
    <w:rsid w:val="44FF3723"/>
    <w:rsid w:val="45247425"/>
    <w:rsid w:val="45264F77"/>
    <w:rsid w:val="452B2DE6"/>
    <w:rsid w:val="45600082"/>
    <w:rsid w:val="457632AA"/>
    <w:rsid w:val="459C17DE"/>
    <w:rsid w:val="45B83901"/>
    <w:rsid w:val="45B93945"/>
    <w:rsid w:val="46096E26"/>
    <w:rsid w:val="462A72E8"/>
    <w:rsid w:val="46634B41"/>
    <w:rsid w:val="469852AF"/>
    <w:rsid w:val="46A340FA"/>
    <w:rsid w:val="46D36540"/>
    <w:rsid w:val="47052E3D"/>
    <w:rsid w:val="4714639E"/>
    <w:rsid w:val="47384010"/>
    <w:rsid w:val="475B15C7"/>
    <w:rsid w:val="476D1AA7"/>
    <w:rsid w:val="47747061"/>
    <w:rsid w:val="479218A4"/>
    <w:rsid w:val="480B5A4B"/>
    <w:rsid w:val="480D41D9"/>
    <w:rsid w:val="4815728B"/>
    <w:rsid w:val="481B2046"/>
    <w:rsid w:val="48527579"/>
    <w:rsid w:val="48532443"/>
    <w:rsid w:val="487321BF"/>
    <w:rsid w:val="48C130DD"/>
    <w:rsid w:val="48C20FCA"/>
    <w:rsid w:val="48E267BE"/>
    <w:rsid w:val="494E4B03"/>
    <w:rsid w:val="496401EB"/>
    <w:rsid w:val="49846121"/>
    <w:rsid w:val="499952B6"/>
    <w:rsid w:val="49B20D1C"/>
    <w:rsid w:val="49E054BE"/>
    <w:rsid w:val="4A0819A8"/>
    <w:rsid w:val="4A5C3691"/>
    <w:rsid w:val="4A600CD7"/>
    <w:rsid w:val="4A785F56"/>
    <w:rsid w:val="4A7912C1"/>
    <w:rsid w:val="4A7B2A13"/>
    <w:rsid w:val="4A867F9C"/>
    <w:rsid w:val="4AA60721"/>
    <w:rsid w:val="4AD5344E"/>
    <w:rsid w:val="4AD80980"/>
    <w:rsid w:val="4AD94D9B"/>
    <w:rsid w:val="4AE4265A"/>
    <w:rsid w:val="4AE45A8E"/>
    <w:rsid w:val="4AE9730D"/>
    <w:rsid w:val="4AF600D4"/>
    <w:rsid w:val="4B71718A"/>
    <w:rsid w:val="4B8B3AD7"/>
    <w:rsid w:val="4B940E5B"/>
    <w:rsid w:val="4BAC321B"/>
    <w:rsid w:val="4BD25A89"/>
    <w:rsid w:val="4BE66C97"/>
    <w:rsid w:val="4BFF50EA"/>
    <w:rsid w:val="4C0A4C59"/>
    <w:rsid w:val="4C2A0FC0"/>
    <w:rsid w:val="4C94071B"/>
    <w:rsid w:val="4C965768"/>
    <w:rsid w:val="4C987DFF"/>
    <w:rsid w:val="4CBA6593"/>
    <w:rsid w:val="4CC14D0D"/>
    <w:rsid w:val="4CC3291C"/>
    <w:rsid w:val="4CD22E3A"/>
    <w:rsid w:val="4CF14DF8"/>
    <w:rsid w:val="4D0648AB"/>
    <w:rsid w:val="4D6A32B3"/>
    <w:rsid w:val="4D6E449B"/>
    <w:rsid w:val="4DA00A65"/>
    <w:rsid w:val="4DCC0D4F"/>
    <w:rsid w:val="4E0801CB"/>
    <w:rsid w:val="4E1C08A8"/>
    <w:rsid w:val="4E417BBC"/>
    <w:rsid w:val="4E7A2E1E"/>
    <w:rsid w:val="4F00630F"/>
    <w:rsid w:val="4F40353D"/>
    <w:rsid w:val="4F8F5C83"/>
    <w:rsid w:val="4FA53BB2"/>
    <w:rsid w:val="4FF53063"/>
    <w:rsid w:val="4FF62531"/>
    <w:rsid w:val="5007704D"/>
    <w:rsid w:val="50467B8B"/>
    <w:rsid w:val="50714B4C"/>
    <w:rsid w:val="50772264"/>
    <w:rsid w:val="509C26E5"/>
    <w:rsid w:val="50BD711E"/>
    <w:rsid w:val="50BE068C"/>
    <w:rsid w:val="50CA0927"/>
    <w:rsid w:val="50D642A1"/>
    <w:rsid w:val="50DC53EF"/>
    <w:rsid w:val="50E109F7"/>
    <w:rsid w:val="515375CF"/>
    <w:rsid w:val="51660ACF"/>
    <w:rsid w:val="517A3868"/>
    <w:rsid w:val="51A81909"/>
    <w:rsid w:val="51BA3691"/>
    <w:rsid w:val="51CE4E36"/>
    <w:rsid w:val="51D82913"/>
    <w:rsid w:val="51FB31E2"/>
    <w:rsid w:val="5223538F"/>
    <w:rsid w:val="52285B7D"/>
    <w:rsid w:val="524C482A"/>
    <w:rsid w:val="52634E74"/>
    <w:rsid w:val="526961DE"/>
    <w:rsid w:val="52B46569"/>
    <w:rsid w:val="52BB1B77"/>
    <w:rsid w:val="52CB7138"/>
    <w:rsid w:val="52CF3C7C"/>
    <w:rsid w:val="53281D23"/>
    <w:rsid w:val="53467B2A"/>
    <w:rsid w:val="5372322E"/>
    <w:rsid w:val="53A27C6B"/>
    <w:rsid w:val="53A55C5F"/>
    <w:rsid w:val="53B43073"/>
    <w:rsid w:val="53B465A0"/>
    <w:rsid w:val="53B46EBF"/>
    <w:rsid w:val="53D72088"/>
    <w:rsid w:val="53DD377E"/>
    <w:rsid w:val="546778B3"/>
    <w:rsid w:val="546C3E86"/>
    <w:rsid w:val="54981F21"/>
    <w:rsid w:val="54B50594"/>
    <w:rsid w:val="54E77BE3"/>
    <w:rsid w:val="550D6067"/>
    <w:rsid w:val="552C69FC"/>
    <w:rsid w:val="554B2A5C"/>
    <w:rsid w:val="55606AC1"/>
    <w:rsid w:val="556254C1"/>
    <w:rsid w:val="55625DF9"/>
    <w:rsid w:val="557E72F9"/>
    <w:rsid w:val="55801354"/>
    <w:rsid w:val="55B1419A"/>
    <w:rsid w:val="55CB0240"/>
    <w:rsid w:val="55F01061"/>
    <w:rsid w:val="55F35BEC"/>
    <w:rsid w:val="56211FC8"/>
    <w:rsid w:val="56353BFE"/>
    <w:rsid w:val="56757E34"/>
    <w:rsid w:val="56770719"/>
    <w:rsid w:val="569404AD"/>
    <w:rsid w:val="56BF03C6"/>
    <w:rsid w:val="56CE6E36"/>
    <w:rsid w:val="56F87A59"/>
    <w:rsid w:val="570B4D32"/>
    <w:rsid w:val="573967FF"/>
    <w:rsid w:val="574B05A2"/>
    <w:rsid w:val="57512084"/>
    <w:rsid w:val="57620153"/>
    <w:rsid w:val="57AA2523"/>
    <w:rsid w:val="57B34480"/>
    <w:rsid w:val="57B4654F"/>
    <w:rsid w:val="57B53E42"/>
    <w:rsid w:val="57E4233F"/>
    <w:rsid w:val="580041EF"/>
    <w:rsid w:val="581B4CF9"/>
    <w:rsid w:val="582E20DA"/>
    <w:rsid w:val="583804A9"/>
    <w:rsid w:val="583F0EBB"/>
    <w:rsid w:val="584243C0"/>
    <w:rsid w:val="58467E34"/>
    <w:rsid w:val="58C52798"/>
    <w:rsid w:val="58E44108"/>
    <w:rsid w:val="58FD6660"/>
    <w:rsid w:val="58FE36AB"/>
    <w:rsid w:val="59164CD9"/>
    <w:rsid w:val="5938749A"/>
    <w:rsid w:val="596353AE"/>
    <w:rsid w:val="5988251B"/>
    <w:rsid w:val="598E7AC3"/>
    <w:rsid w:val="59C400E8"/>
    <w:rsid w:val="5A4D10AB"/>
    <w:rsid w:val="5A5E043F"/>
    <w:rsid w:val="5A5E098B"/>
    <w:rsid w:val="5A9425D7"/>
    <w:rsid w:val="5AA41345"/>
    <w:rsid w:val="5B276CB5"/>
    <w:rsid w:val="5B2A1CEE"/>
    <w:rsid w:val="5B3E6A4E"/>
    <w:rsid w:val="5B4B5A50"/>
    <w:rsid w:val="5B595440"/>
    <w:rsid w:val="5B5F7464"/>
    <w:rsid w:val="5B661C38"/>
    <w:rsid w:val="5B710F8C"/>
    <w:rsid w:val="5B961437"/>
    <w:rsid w:val="5B9D4D20"/>
    <w:rsid w:val="5BC90AEC"/>
    <w:rsid w:val="5C0B6CF9"/>
    <w:rsid w:val="5C1052C5"/>
    <w:rsid w:val="5C5D3EAA"/>
    <w:rsid w:val="5C8969EF"/>
    <w:rsid w:val="5C8C5223"/>
    <w:rsid w:val="5C926E97"/>
    <w:rsid w:val="5CB520B4"/>
    <w:rsid w:val="5CEB2461"/>
    <w:rsid w:val="5CFD6063"/>
    <w:rsid w:val="5D05397F"/>
    <w:rsid w:val="5D0C0E21"/>
    <w:rsid w:val="5D100855"/>
    <w:rsid w:val="5D153D75"/>
    <w:rsid w:val="5D2F538D"/>
    <w:rsid w:val="5D4E0148"/>
    <w:rsid w:val="5D655A38"/>
    <w:rsid w:val="5D8525C1"/>
    <w:rsid w:val="5D952A17"/>
    <w:rsid w:val="5D9A713A"/>
    <w:rsid w:val="5DD92DF0"/>
    <w:rsid w:val="5DEB1C2C"/>
    <w:rsid w:val="5DEF4C7F"/>
    <w:rsid w:val="5E1459E9"/>
    <w:rsid w:val="5E304C8D"/>
    <w:rsid w:val="5E425BE7"/>
    <w:rsid w:val="5E773ACB"/>
    <w:rsid w:val="5E7D2334"/>
    <w:rsid w:val="5EF155A5"/>
    <w:rsid w:val="5EF208D4"/>
    <w:rsid w:val="5EF8312C"/>
    <w:rsid w:val="5F041BBE"/>
    <w:rsid w:val="5F2B0AF7"/>
    <w:rsid w:val="5F3E246C"/>
    <w:rsid w:val="5FB367D0"/>
    <w:rsid w:val="5FB63F9C"/>
    <w:rsid w:val="5FD3376E"/>
    <w:rsid w:val="6011271E"/>
    <w:rsid w:val="601B4AF4"/>
    <w:rsid w:val="604161EC"/>
    <w:rsid w:val="60444197"/>
    <w:rsid w:val="607369BE"/>
    <w:rsid w:val="60C653A9"/>
    <w:rsid w:val="60CA7C1D"/>
    <w:rsid w:val="60E640E5"/>
    <w:rsid w:val="610227EC"/>
    <w:rsid w:val="611A0BBC"/>
    <w:rsid w:val="61391CC0"/>
    <w:rsid w:val="615700F3"/>
    <w:rsid w:val="61650670"/>
    <w:rsid w:val="61B71B3E"/>
    <w:rsid w:val="61C90BFA"/>
    <w:rsid w:val="61D753A1"/>
    <w:rsid w:val="61D8488D"/>
    <w:rsid w:val="61DB5E5B"/>
    <w:rsid w:val="61DE457B"/>
    <w:rsid w:val="61E904D1"/>
    <w:rsid w:val="61EE0A53"/>
    <w:rsid w:val="62434E45"/>
    <w:rsid w:val="6245219F"/>
    <w:rsid w:val="6251484C"/>
    <w:rsid w:val="62617037"/>
    <w:rsid w:val="62CC144D"/>
    <w:rsid w:val="62D7760B"/>
    <w:rsid w:val="62E17F7F"/>
    <w:rsid w:val="63050868"/>
    <w:rsid w:val="631175A6"/>
    <w:rsid w:val="63755139"/>
    <w:rsid w:val="639A34DB"/>
    <w:rsid w:val="63CB3EC7"/>
    <w:rsid w:val="63EA498E"/>
    <w:rsid w:val="63F450E3"/>
    <w:rsid w:val="640C5CC1"/>
    <w:rsid w:val="642B045F"/>
    <w:rsid w:val="643731D8"/>
    <w:rsid w:val="6446655C"/>
    <w:rsid w:val="646624FA"/>
    <w:rsid w:val="647647A5"/>
    <w:rsid w:val="64854EA5"/>
    <w:rsid w:val="648B0DB3"/>
    <w:rsid w:val="648D5BC8"/>
    <w:rsid w:val="64FF1A0B"/>
    <w:rsid w:val="64FF62CB"/>
    <w:rsid w:val="65080F9A"/>
    <w:rsid w:val="6547479C"/>
    <w:rsid w:val="655E4B2E"/>
    <w:rsid w:val="65A14992"/>
    <w:rsid w:val="65B73794"/>
    <w:rsid w:val="65BF2820"/>
    <w:rsid w:val="65D00EDD"/>
    <w:rsid w:val="65DB4CE4"/>
    <w:rsid w:val="65DC5F58"/>
    <w:rsid w:val="65E27811"/>
    <w:rsid w:val="65FE0FFA"/>
    <w:rsid w:val="660D46CA"/>
    <w:rsid w:val="662016DB"/>
    <w:rsid w:val="663A5B36"/>
    <w:rsid w:val="66535750"/>
    <w:rsid w:val="66920D8E"/>
    <w:rsid w:val="66994A36"/>
    <w:rsid w:val="66DB0419"/>
    <w:rsid w:val="66EE1A2C"/>
    <w:rsid w:val="670F0233"/>
    <w:rsid w:val="67266BB9"/>
    <w:rsid w:val="674477B6"/>
    <w:rsid w:val="675439FC"/>
    <w:rsid w:val="677A2985"/>
    <w:rsid w:val="678B3166"/>
    <w:rsid w:val="67A67724"/>
    <w:rsid w:val="67DA5F49"/>
    <w:rsid w:val="67E63BD8"/>
    <w:rsid w:val="680219E7"/>
    <w:rsid w:val="680B353F"/>
    <w:rsid w:val="681C368C"/>
    <w:rsid w:val="681E53E6"/>
    <w:rsid w:val="68474B22"/>
    <w:rsid w:val="68873918"/>
    <w:rsid w:val="68C2243F"/>
    <w:rsid w:val="68E26C63"/>
    <w:rsid w:val="691E7438"/>
    <w:rsid w:val="69A535C2"/>
    <w:rsid w:val="69AE7831"/>
    <w:rsid w:val="69B72DCC"/>
    <w:rsid w:val="69BF7DFB"/>
    <w:rsid w:val="69FA48B2"/>
    <w:rsid w:val="6A1371E8"/>
    <w:rsid w:val="6A180E6C"/>
    <w:rsid w:val="6A325976"/>
    <w:rsid w:val="6A3E1163"/>
    <w:rsid w:val="6A48086D"/>
    <w:rsid w:val="6A5A08A9"/>
    <w:rsid w:val="6A7E4412"/>
    <w:rsid w:val="6A8C309F"/>
    <w:rsid w:val="6AB22A52"/>
    <w:rsid w:val="6AB719BA"/>
    <w:rsid w:val="6AD86BDC"/>
    <w:rsid w:val="6ADC6B90"/>
    <w:rsid w:val="6AE11A8A"/>
    <w:rsid w:val="6B081F1D"/>
    <w:rsid w:val="6B0A6700"/>
    <w:rsid w:val="6B0E07ED"/>
    <w:rsid w:val="6B2D21E8"/>
    <w:rsid w:val="6B330085"/>
    <w:rsid w:val="6B430DDB"/>
    <w:rsid w:val="6B4B1E23"/>
    <w:rsid w:val="6B6767A9"/>
    <w:rsid w:val="6B7829A7"/>
    <w:rsid w:val="6C8219B5"/>
    <w:rsid w:val="6C8E37C8"/>
    <w:rsid w:val="6C981032"/>
    <w:rsid w:val="6CA42E3C"/>
    <w:rsid w:val="6CD15932"/>
    <w:rsid w:val="6CD30666"/>
    <w:rsid w:val="6CDA73C2"/>
    <w:rsid w:val="6CE26849"/>
    <w:rsid w:val="6CF775E4"/>
    <w:rsid w:val="6D1A409A"/>
    <w:rsid w:val="6D251608"/>
    <w:rsid w:val="6D34033C"/>
    <w:rsid w:val="6D5732C6"/>
    <w:rsid w:val="6D5A2154"/>
    <w:rsid w:val="6D5C6AFE"/>
    <w:rsid w:val="6D712E68"/>
    <w:rsid w:val="6D78625A"/>
    <w:rsid w:val="6DB76CCB"/>
    <w:rsid w:val="6DB9392D"/>
    <w:rsid w:val="6DBA4F59"/>
    <w:rsid w:val="6DEE3EAA"/>
    <w:rsid w:val="6E1F4C87"/>
    <w:rsid w:val="6E4A0A85"/>
    <w:rsid w:val="6E4F3465"/>
    <w:rsid w:val="6E602A16"/>
    <w:rsid w:val="6E7A4259"/>
    <w:rsid w:val="6E907FC2"/>
    <w:rsid w:val="6EEF31A2"/>
    <w:rsid w:val="6F3765E5"/>
    <w:rsid w:val="6F437B5D"/>
    <w:rsid w:val="6F550C6A"/>
    <w:rsid w:val="6F591544"/>
    <w:rsid w:val="6F5E0737"/>
    <w:rsid w:val="6F6A5FA5"/>
    <w:rsid w:val="6F901BF6"/>
    <w:rsid w:val="6F921A39"/>
    <w:rsid w:val="6F95673B"/>
    <w:rsid w:val="6F983C86"/>
    <w:rsid w:val="6FA6276A"/>
    <w:rsid w:val="6FDF56AE"/>
    <w:rsid w:val="6FEB22BB"/>
    <w:rsid w:val="700161EC"/>
    <w:rsid w:val="704F1B84"/>
    <w:rsid w:val="70654817"/>
    <w:rsid w:val="70813EBE"/>
    <w:rsid w:val="709F1717"/>
    <w:rsid w:val="70B856A4"/>
    <w:rsid w:val="70D77E56"/>
    <w:rsid w:val="70EC3730"/>
    <w:rsid w:val="710562C0"/>
    <w:rsid w:val="711C1632"/>
    <w:rsid w:val="712B03AE"/>
    <w:rsid w:val="7143127B"/>
    <w:rsid w:val="71812FA0"/>
    <w:rsid w:val="71B06860"/>
    <w:rsid w:val="71D4310B"/>
    <w:rsid w:val="71D45BD6"/>
    <w:rsid w:val="71F46D32"/>
    <w:rsid w:val="71F967DB"/>
    <w:rsid w:val="71FB5492"/>
    <w:rsid w:val="723F00A3"/>
    <w:rsid w:val="72803423"/>
    <w:rsid w:val="72BB62B0"/>
    <w:rsid w:val="72C15104"/>
    <w:rsid w:val="72CA4906"/>
    <w:rsid w:val="72DC4A0E"/>
    <w:rsid w:val="72DD55A5"/>
    <w:rsid w:val="72E97631"/>
    <w:rsid w:val="73150C75"/>
    <w:rsid w:val="731F4BB5"/>
    <w:rsid w:val="7324416F"/>
    <w:rsid w:val="73C276DC"/>
    <w:rsid w:val="73D5784A"/>
    <w:rsid w:val="73D8752E"/>
    <w:rsid w:val="73EC2672"/>
    <w:rsid w:val="74000E0D"/>
    <w:rsid w:val="742477F9"/>
    <w:rsid w:val="7436349D"/>
    <w:rsid w:val="7451357D"/>
    <w:rsid w:val="746B754F"/>
    <w:rsid w:val="746B7FBB"/>
    <w:rsid w:val="747E73AA"/>
    <w:rsid w:val="74985740"/>
    <w:rsid w:val="74C26675"/>
    <w:rsid w:val="74D144E0"/>
    <w:rsid w:val="74E82D69"/>
    <w:rsid w:val="74FC642C"/>
    <w:rsid w:val="751A3C51"/>
    <w:rsid w:val="75253C73"/>
    <w:rsid w:val="75736E70"/>
    <w:rsid w:val="7590143F"/>
    <w:rsid w:val="75A551E7"/>
    <w:rsid w:val="75A761CF"/>
    <w:rsid w:val="75AF65D9"/>
    <w:rsid w:val="75BB0E73"/>
    <w:rsid w:val="76020073"/>
    <w:rsid w:val="761C6644"/>
    <w:rsid w:val="76280742"/>
    <w:rsid w:val="76353D17"/>
    <w:rsid w:val="76381FB2"/>
    <w:rsid w:val="767D5DB6"/>
    <w:rsid w:val="76BD5B35"/>
    <w:rsid w:val="76DA7A0E"/>
    <w:rsid w:val="76DD78AC"/>
    <w:rsid w:val="76E72C42"/>
    <w:rsid w:val="76FB7388"/>
    <w:rsid w:val="773B66AF"/>
    <w:rsid w:val="775C73DF"/>
    <w:rsid w:val="777828AC"/>
    <w:rsid w:val="77D021EB"/>
    <w:rsid w:val="77E32DFF"/>
    <w:rsid w:val="77E72A46"/>
    <w:rsid w:val="77EE22E5"/>
    <w:rsid w:val="77F00353"/>
    <w:rsid w:val="78021CC2"/>
    <w:rsid w:val="780950E5"/>
    <w:rsid w:val="783620D4"/>
    <w:rsid w:val="784B71F5"/>
    <w:rsid w:val="785F1AC3"/>
    <w:rsid w:val="78872CCD"/>
    <w:rsid w:val="789806A8"/>
    <w:rsid w:val="78A27ED0"/>
    <w:rsid w:val="78D839BA"/>
    <w:rsid w:val="78F100E5"/>
    <w:rsid w:val="78FC30FD"/>
    <w:rsid w:val="792E179E"/>
    <w:rsid w:val="795F6947"/>
    <w:rsid w:val="79C71979"/>
    <w:rsid w:val="79E17806"/>
    <w:rsid w:val="79F4133C"/>
    <w:rsid w:val="7A086C72"/>
    <w:rsid w:val="7A2314D5"/>
    <w:rsid w:val="7A315984"/>
    <w:rsid w:val="7A346CC1"/>
    <w:rsid w:val="7A62735A"/>
    <w:rsid w:val="7A6E5D3A"/>
    <w:rsid w:val="7A756BD1"/>
    <w:rsid w:val="7AAA6894"/>
    <w:rsid w:val="7AD66A40"/>
    <w:rsid w:val="7AE04A12"/>
    <w:rsid w:val="7AEC5052"/>
    <w:rsid w:val="7AF448BB"/>
    <w:rsid w:val="7AFC3E5E"/>
    <w:rsid w:val="7B12009F"/>
    <w:rsid w:val="7B2B7FFE"/>
    <w:rsid w:val="7B3943DF"/>
    <w:rsid w:val="7B4F3D96"/>
    <w:rsid w:val="7B526D5E"/>
    <w:rsid w:val="7B562A05"/>
    <w:rsid w:val="7B5D4A1E"/>
    <w:rsid w:val="7B5E636F"/>
    <w:rsid w:val="7B685D80"/>
    <w:rsid w:val="7B8F5B4D"/>
    <w:rsid w:val="7B9168D7"/>
    <w:rsid w:val="7BD31D2A"/>
    <w:rsid w:val="7C0F0B13"/>
    <w:rsid w:val="7C162E4E"/>
    <w:rsid w:val="7C1C6B7B"/>
    <w:rsid w:val="7C3F59EA"/>
    <w:rsid w:val="7C623885"/>
    <w:rsid w:val="7C684EC4"/>
    <w:rsid w:val="7C927AD5"/>
    <w:rsid w:val="7C9D38E2"/>
    <w:rsid w:val="7CB21A17"/>
    <w:rsid w:val="7CBD59F4"/>
    <w:rsid w:val="7D1812BE"/>
    <w:rsid w:val="7D527940"/>
    <w:rsid w:val="7D5673D1"/>
    <w:rsid w:val="7D827D4F"/>
    <w:rsid w:val="7D85077B"/>
    <w:rsid w:val="7D8D493A"/>
    <w:rsid w:val="7D956CCE"/>
    <w:rsid w:val="7D9E537B"/>
    <w:rsid w:val="7DD17F31"/>
    <w:rsid w:val="7DF20384"/>
    <w:rsid w:val="7E2428F8"/>
    <w:rsid w:val="7E267D68"/>
    <w:rsid w:val="7E8720AC"/>
    <w:rsid w:val="7EA537C2"/>
    <w:rsid w:val="7EBC42F0"/>
    <w:rsid w:val="7EDF069C"/>
    <w:rsid w:val="7F027945"/>
    <w:rsid w:val="7F3F25F4"/>
    <w:rsid w:val="7F475D84"/>
    <w:rsid w:val="7F4D48F2"/>
    <w:rsid w:val="7F4E3E9A"/>
    <w:rsid w:val="7F7219E8"/>
    <w:rsid w:val="7F8C1A27"/>
    <w:rsid w:val="7F9C5A4C"/>
    <w:rsid w:val="7FB7243E"/>
    <w:rsid w:val="7FD06E22"/>
    <w:rsid w:val="7FDB0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2"/>
    <w:basedOn w:val="1"/>
    <w:qFormat/>
    <w:uiPriority w:val="0"/>
    <w:pPr>
      <w:spacing w:line="560" w:lineRule="exac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FollowedHyperlink"/>
    <w:basedOn w:val="10"/>
    <w:qFormat/>
    <w:uiPriority w:val="0"/>
    <w:rPr>
      <w:color w:val="727272"/>
      <w:u w:val="none"/>
    </w:rPr>
  </w:style>
  <w:style w:type="character" w:styleId="13">
    <w:name w:val="Emphasis"/>
    <w:basedOn w:val="10"/>
    <w:qFormat/>
    <w:uiPriority w:val="0"/>
    <w:rPr>
      <w:i/>
      <w:iCs/>
    </w:rPr>
  </w:style>
  <w:style w:type="character" w:styleId="14">
    <w:name w:val="HTML Definition"/>
    <w:basedOn w:val="10"/>
    <w:qFormat/>
    <w:uiPriority w:val="0"/>
    <w:rPr>
      <w:i/>
    </w:rPr>
  </w:style>
  <w:style w:type="character" w:styleId="15">
    <w:name w:val="Hyperlink"/>
    <w:basedOn w:val="10"/>
    <w:qFormat/>
    <w:uiPriority w:val="0"/>
    <w:rPr>
      <w:color w:val="727272"/>
      <w:u w:val="none"/>
    </w:rPr>
  </w:style>
  <w:style w:type="character" w:styleId="16">
    <w:name w:val="HTML Code"/>
    <w:basedOn w:val="10"/>
    <w:qFormat/>
    <w:uiPriority w:val="0"/>
    <w:rPr>
      <w:rFonts w:hint="default" w:ascii="Consolas" w:hAnsi="Consolas" w:eastAsia="Consolas" w:cs="Consolas"/>
      <w:color w:val="C7254E"/>
      <w:sz w:val="21"/>
      <w:szCs w:val="21"/>
      <w:shd w:val="clear" w:color="auto" w:fill="F9F2F4"/>
    </w:rPr>
  </w:style>
  <w:style w:type="character" w:styleId="17">
    <w:name w:val="HTML Keyboard"/>
    <w:basedOn w:val="10"/>
    <w:qFormat/>
    <w:uiPriority w:val="0"/>
    <w:rPr>
      <w:rFonts w:hint="default" w:ascii="Consolas" w:hAnsi="Consolas" w:eastAsia="Consolas" w:cs="Consolas"/>
      <w:color w:val="FFFFFF"/>
      <w:sz w:val="21"/>
      <w:szCs w:val="21"/>
      <w:shd w:val="clear" w:color="auto" w:fill="333333"/>
    </w:rPr>
  </w:style>
  <w:style w:type="character" w:styleId="18">
    <w:name w:val="HTML Sample"/>
    <w:basedOn w:val="10"/>
    <w:qFormat/>
    <w:uiPriority w:val="0"/>
    <w:rPr>
      <w:rFonts w:ascii="Consolas" w:hAnsi="Consolas" w:eastAsia="Consolas" w:cs="Consolas"/>
      <w:sz w:val="21"/>
      <w:szCs w:val="21"/>
    </w:rPr>
  </w:style>
  <w:style w:type="character" w:customStyle="1" w:styleId="19">
    <w:name w:val="apple-style-span"/>
    <w:basedOn w:val="10"/>
    <w:qFormat/>
    <w:uiPriority w:val="0"/>
  </w:style>
  <w:style w:type="character" w:customStyle="1" w:styleId="20">
    <w:name w:val="15"/>
    <w:basedOn w:val="10"/>
    <w:qFormat/>
    <w:uiPriority w:val="0"/>
    <w:rPr>
      <w:rFonts w:hint="default" w:ascii="Times New Roman" w:hAnsi="Times New Roman" w:cs="Times New Roman"/>
    </w:rPr>
  </w:style>
  <w:style w:type="character" w:customStyle="1" w:styleId="21">
    <w:name w:val="NormalCharacter"/>
    <w:qFormat/>
    <w:uiPriority w:val="0"/>
    <w:rPr>
      <w:rFonts w:ascii="Calibri" w:hAnsi="Calibri" w:eastAsia="宋体" w:cs="宋体"/>
      <w:kern w:val="2"/>
      <w:sz w:val="21"/>
      <w:szCs w:val="24"/>
      <w:lang w:val="en-US" w:eastAsia="zh-CN" w:bidi="ar-SA"/>
    </w:rPr>
  </w:style>
  <w:style w:type="character" w:customStyle="1" w:styleId="22">
    <w:name w:val="ico3"/>
    <w:basedOn w:val="10"/>
    <w:qFormat/>
    <w:uiPriority w:val="0"/>
  </w:style>
  <w:style w:type="character" w:customStyle="1" w:styleId="23">
    <w:name w:val="ico31"/>
    <w:basedOn w:val="10"/>
    <w:qFormat/>
    <w:uiPriority w:val="0"/>
  </w:style>
  <w:style w:type="character" w:customStyle="1" w:styleId="24">
    <w:name w:val="ico32"/>
    <w:basedOn w:val="10"/>
    <w:qFormat/>
    <w:uiPriority w:val="0"/>
  </w:style>
  <w:style w:type="character" w:customStyle="1" w:styleId="25">
    <w:name w:val="ico33"/>
    <w:basedOn w:val="10"/>
    <w:qFormat/>
    <w:uiPriority w:val="0"/>
  </w:style>
  <w:style w:type="character" w:customStyle="1" w:styleId="26">
    <w:name w:val="ico34"/>
    <w:basedOn w:val="10"/>
    <w:qFormat/>
    <w:uiPriority w:val="0"/>
  </w:style>
  <w:style w:type="character" w:customStyle="1" w:styleId="27">
    <w:name w:val="ico35"/>
    <w:basedOn w:val="10"/>
    <w:qFormat/>
    <w:uiPriority w:val="0"/>
  </w:style>
  <w:style w:type="character" w:customStyle="1" w:styleId="28">
    <w:name w:val="ico36"/>
    <w:basedOn w:val="10"/>
    <w:qFormat/>
    <w:uiPriority w:val="0"/>
  </w:style>
  <w:style w:type="character" w:customStyle="1" w:styleId="29">
    <w:name w:val="ico37"/>
    <w:basedOn w:val="10"/>
    <w:qFormat/>
    <w:uiPriority w:val="0"/>
  </w:style>
  <w:style w:type="character" w:customStyle="1" w:styleId="30">
    <w:name w:val="ico38"/>
    <w:basedOn w:val="10"/>
    <w:qFormat/>
    <w:uiPriority w:val="0"/>
  </w:style>
  <w:style w:type="character" w:customStyle="1" w:styleId="31">
    <w:name w:val="ico4"/>
    <w:basedOn w:val="10"/>
    <w:qFormat/>
    <w:uiPriority w:val="0"/>
  </w:style>
  <w:style w:type="character" w:customStyle="1" w:styleId="32">
    <w:name w:val="ico41"/>
    <w:basedOn w:val="10"/>
    <w:qFormat/>
    <w:uiPriority w:val="0"/>
  </w:style>
  <w:style w:type="character" w:customStyle="1" w:styleId="33">
    <w:name w:val="ico42"/>
    <w:basedOn w:val="10"/>
    <w:qFormat/>
    <w:uiPriority w:val="0"/>
  </w:style>
  <w:style w:type="character" w:customStyle="1" w:styleId="34">
    <w:name w:val="ico43"/>
    <w:basedOn w:val="10"/>
    <w:qFormat/>
    <w:uiPriority w:val="0"/>
  </w:style>
  <w:style w:type="character" w:customStyle="1" w:styleId="35">
    <w:name w:val="ico44"/>
    <w:basedOn w:val="10"/>
    <w:qFormat/>
    <w:uiPriority w:val="0"/>
  </w:style>
  <w:style w:type="character" w:customStyle="1" w:styleId="36">
    <w:name w:val="ico45"/>
    <w:basedOn w:val="10"/>
    <w:qFormat/>
    <w:uiPriority w:val="0"/>
  </w:style>
  <w:style w:type="character" w:customStyle="1" w:styleId="37">
    <w:name w:val="ico6"/>
    <w:basedOn w:val="10"/>
    <w:qFormat/>
    <w:uiPriority w:val="0"/>
  </w:style>
  <w:style w:type="character" w:customStyle="1" w:styleId="38">
    <w:name w:val="ico61"/>
    <w:basedOn w:val="10"/>
    <w:qFormat/>
    <w:uiPriority w:val="0"/>
  </w:style>
  <w:style w:type="character" w:customStyle="1" w:styleId="39">
    <w:name w:val="ico62"/>
    <w:basedOn w:val="10"/>
    <w:qFormat/>
    <w:uiPriority w:val="0"/>
  </w:style>
  <w:style w:type="character" w:customStyle="1" w:styleId="40">
    <w:name w:val="ico63"/>
    <w:basedOn w:val="10"/>
    <w:qFormat/>
    <w:uiPriority w:val="0"/>
  </w:style>
  <w:style w:type="character" w:customStyle="1" w:styleId="41">
    <w:name w:val="ico64"/>
    <w:basedOn w:val="10"/>
    <w:qFormat/>
    <w:uiPriority w:val="0"/>
  </w:style>
  <w:style w:type="character" w:customStyle="1" w:styleId="42">
    <w:name w:val="ico65"/>
    <w:basedOn w:val="10"/>
    <w:qFormat/>
    <w:uiPriority w:val="0"/>
  </w:style>
  <w:style w:type="character" w:customStyle="1" w:styleId="43">
    <w:name w:val="ico5"/>
    <w:basedOn w:val="10"/>
    <w:qFormat/>
    <w:uiPriority w:val="0"/>
  </w:style>
  <w:style w:type="character" w:customStyle="1" w:styleId="44">
    <w:name w:val="ico51"/>
    <w:basedOn w:val="10"/>
    <w:qFormat/>
    <w:uiPriority w:val="0"/>
  </w:style>
  <w:style w:type="character" w:customStyle="1" w:styleId="45">
    <w:name w:val="ico52"/>
    <w:basedOn w:val="10"/>
    <w:qFormat/>
    <w:uiPriority w:val="0"/>
  </w:style>
  <w:style w:type="character" w:customStyle="1" w:styleId="46">
    <w:name w:val="ico53"/>
    <w:basedOn w:val="10"/>
    <w:qFormat/>
    <w:uiPriority w:val="0"/>
  </w:style>
  <w:style w:type="character" w:customStyle="1" w:styleId="47">
    <w:name w:val="ico54"/>
    <w:basedOn w:val="10"/>
    <w:qFormat/>
    <w:uiPriority w:val="0"/>
  </w:style>
  <w:style w:type="character" w:customStyle="1" w:styleId="48">
    <w:name w:val="ico55"/>
    <w:basedOn w:val="10"/>
    <w:qFormat/>
    <w:uiPriority w:val="0"/>
  </w:style>
  <w:style w:type="character" w:customStyle="1" w:styleId="49">
    <w:name w:val="ico1"/>
    <w:basedOn w:val="10"/>
    <w:qFormat/>
    <w:uiPriority w:val="0"/>
  </w:style>
  <w:style w:type="character" w:customStyle="1" w:styleId="50">
    <w:name w:val="ico11"/>
    <w:basedOn w:val="10"/>
    <w:qFormat/>
    <w:uiPriority w:val="0"/>
  </w:style>
  <w:style w:type="character" w:customStyle="1" w:styleId="51">
    <w:name w:val="ico12"/>
    <w:basedOn w:val="10"/>
    <w:qFormat/>
    <w:uiPriority w:val="0"/>
  </w:style>
  <w:style w:type="character" w:customStyle="1" w:styleId="52">
    <w:name w:val="ico13"/>
    <w:basedOn w:val="10"/>
    <w:qFormat/>
    <w:uiPriority w:val="0"/>
  </w:style>
  <w:style w:type="character" w:customStyle="1" w:styleId="53">
    <w:name w:val="ico14"/>
    <w:basedOn w:val="10"/>
    <w:qFormat/>
    <w:uiPriority w:val="0"/>
  </w:style>
  <w:style w:type="character" w:customStyle="1" w:styleId="54">
    <w:name w:val="ico15"/>
    <w:basedOn w:val="10"/>
    <w:qFormat/>
    <w:uiPriority w:val="0"/>
  </w:style>
  <w:style w:type="character" w:customStyle="1" w:styleId="55">
    <w:name w:val="ico16"/>
    <w:basedOn w:val="10"/>
    <w:qFormat/>
    <w:uiPriority w:val="0"/>
  </w:style>
  <w:style w:type="character" w:customStyle="1" w:styleId="56">
    <w:name w:val="ico7"/>
    <w:basedOn w:val="10"/>
    <w:qFormat/>
    <w:uiPriority w:val="0"/>
  </w:style>
  <w:style w:type="character" w:customStyle="1" w:styleId="57">
    <w:name w:val="ico71"/>
    <w:basedOn w:val="10"/>
    <w:qFormat/>
    <w:uiPriority w:val="0"/>
  </w:style>
  <w:style w:type="character" w:customStyle="1" w:styleId="58">
    <w:name w:val="ico72"/>
    <w:basedOn w:val="10"/>
    <w:qFormat/>
    <w:uiPriority w:val="0"/>
  </w:style>
  <w:style w:type="character" w:customStyle="1" w:styleId="59">
    <w:name w:val="ico2"/>
    <w:basedOn w:val="10"/>
    <w:qFormat/>
    <w:uiPriority w:val="0"/>
  </w:style>
  <w:style w:type="character" w:customStyle="1" w:styleId="60">
    <w:name w:val="ico21"/>
    <w:basedOn w:val="10"/>
    <w:qFormat/>
    <w:uiPriority w:val="0"/>
  </w:style>
  <w:style w:type="character" w:customStyle="1" w:styleId="61">
    <w:name w:val="ico22"/>
    <w:basedOn w:val="10"/>
    <w:qFormat/>
    <w:uiPriority w:val="0"/>
  </w:style>
  <w:style w:type="character" w:customStyle="1" w:styleId="62">
    <w:name w:val="ico23"/>
    <w:basedOn w:val="10"/>
    <w:qFormat/>
    <w:uiPriority w:val="0"/>
  </w:style>
  <w:style w:type="character" w:customStyle="1" w:styleId="63">
    <w:name w:val="ico24"/>
    <w:basedOn w:val="10"/>
    <w:qFormat/>
    <w:uiPriority w:val="0"/>
  </w:style>
  <w:style w:type="character" w:customStyle="1" w:styleId="64">
    <w:name w:val="ico25"/>
    <w:basedOn w:val="10"/>
    <w:qFormat/>
    <w:uiPriority w:val="0"/>
  </w:style>
  <w:style w:type="character" w:customStyle="1" w:styleId="65">
    <w:name w:val="ico26"/>
    <w:basedOn w:val="10"/>
    <w:qFormat/>
    <w:uiPriority w:val="0"/>
  </w:style>
  <w:style w:type="character" w:customStyle="1" w:styleId="66">
    <w:name w:val="ico27"/>
    <w:basedOn w:val="10"/>
    <w:qFormat/>
    <w:uiPriority w:val="0"/>
  </w:style>
  <w:style w:type="character" w:customStyle="1" w:styleId="67">
    <w:name w:val="ico28"/>
    <w:basedOn w:val="10"/>
    <w:qFormat/>
    <w:uiPriority w:val="0"/>
  </w:style>
  <w:style w:type="character" w:customStyle="1" w:styleId="68">
    <w:name w:val="ico111"/>
    <w:basedOn w:val="10"/>
    <w:qFormat/>
    <w:uiPriority w:val="0"/>
  </w:style>
  <w:style w:type="character" w:customStyle="1" w:styleId="69">
    <w:name w:val="ico112"/>
    <w:basedOn w:val="10"/>
    <w:qFormat/>
    <w:uiPriority w:val="0"/>
  </w:style>
  <w:style w:type="character" w:customStyle="1" w:styleId="70">
    <w:name w:val="ico113"/>
    <w:basedOn w:val="10"/>
    <w:qFormat/>
    <w:uiPriority w:val="0"/>
  </w:style>
  <w:style w:type="character" w:customStyle="1" w:styleId="71">
    <w:name w:val="ico8"/>
    <w:basedOn w:val="10"/>
    <w:qFormat/>
    <w:uiPriority w:val="0"/>
  </w:style>
  <w:style w:type="character" w:customStyle="1" w:styleId="72">
    <w:name w:val="ico81"/>
    <w:basedOn w:val="10"/>
    <w:qFormat/>
    <w:uiPriority w:val="0"/>
  </w:style>
  <w:style w:type="character" w:customStyle="1" w:styleId="73">
    <w:name w:val="ico82"/>
    <w:basedOn w:val="10"/>
    <w:qFormat/>
    <w:uiPriority w:val="0"/>
  </w:style>
  <w:style w:type="character" w:customStyle="1" w:styleId="74">
    <w:name w:val="ico9"/>
    <w:basedOn w:val="10"/>
    <w:qFormat/>
    <w:uiPriority w:val="0"/>
  </w:style>
  <w:style w:type="character" w:customStyle="1" w:styleId="75">
    <w:name w:val="ico91"/>
    <w:basedOn w:val="10"/>
    <w:qFormat/>
    <w:uiPriority w:val="0"/>
  </w:style>
  <w:style w:type="character" w:customStyle="1" w:styleId="76">
    <w:name w:val="ico92"/>
    <w:basedOn w:val="10"/>
    <w:qFormat/>
    <w:uiPriority w:val="0"/>
  </w:style>
  <w:style w:type="character" w:customStyle="1" w:styleId="77">
    <w:name w:val="ico10"/>
    <w:basedOn w:val="10"/>
    <w:qFormat/>
    <w:uiPriority w:val="0"/>
  </w:style>
  <w:style w:type="character" w:customStyle="1" w:styleId="78">
    <w:name w:val="ico101"/>
    <w:basedOn w:val="10"/>
    <w:qFormat/>
    <w:uiPriority w:val="0"/>
  </w:style>
  <w:style w:type="character" w:customStyle="1" w:styleId="79">
    <w:name w:val="ico102"/>
    <w:basedOn w:val="10"/>
    <w:qFormat/>
    <w:uiPriority w:val="0"/>
  </w:style>
  <w:style w:type="character" w:customStyle="1" w:styleId="80">
    <w:name w:val="t_bg2"/>
    <w:basedOn w:val="10"/>
    <w:qFormat/>
    <w:uiPriority w:val="0"/>
    <w:rPr>
      <w:color w:val="FFFFFF"/>
      <w:bdr w:val="single" w:color="FAA72D" w:sz="6" w:space="0"/>
      <w:shd w:val="clear" w:color="auto" w:fill="FAA72D"/>
    </w:rPr>
  </w:style>
  <w:style w:type="character" w:customStyle="1" w:styleId="81">
    <w:name w:val="ico121"/>
    <w:basedOn w:val="10"/>
    <w:qFormat/>
    <w:uiPriority w:val="0"/>
  </w:style>
  <w:style w:type="character" w:customStyle="1" w:styleId="82">
    <w:name w:val="ico122"/>
    <w:basedOn w:val="10"/>
    <w:qFormat/>
    <w:uiPriority w:val="0"/>
  </w:style>
  <w:style w:type="character" w:customStyle="1" w:styleId="83">
    <w:name w:val="ico123"/>
    <w:basedOn w:val="10"/>
    <w:qFormat/>
    <w:uiPriority w:val="0"/>
  </w:style>
  <w:style w:type="character" w:customStyle="1" w:styleId="84">
    <w:name w:val="enter"/>
    <w:basedOn w:val="10"/>
    <w:qFormat/>
    <w:uiPriority w:val="0"/>
    <w:rPr>
      <w:sz w:val="18"/>
      <w:szCs w:val="18"/>
    </w:rPr>
  </w:style>
  <w:style w:type="character" w:customStyle="1" w:styleId="85">
    <w:name w:val="renew11"/>
    <w:basedOn w:val="10"/>
    <w:qFormat/>
    <w:uiPriority w:val="0"/>
    <w:rPr>
      <w:sz w:val="18"/>
      <w:szCs w:val="18"/>
    </w:rPr>
  </w:style>
  <w:style w:type="character" w:customStyle="1" w:styleId="86">
    <w:name w:val="hover35"/>
    <w:basedOn w:val="10"/>
    <w:qFormat/>
    <w:uiPriority w:val="0"/>
    <w:rPr>
      <w:color w:val="FFFFFF"/>
      <w:u w:val="none"/>
      <w:bdr w:val="single" w:color="ED1E00" w:sz="6" w:space="0"/>
      <w:shd w:val="clear" w:color="auto" w:fill="ED1E00"/>
    </w:rPr>
  </w:style>
  <w:style w:type="character" w:customStyle="1" w:styleId="87">
    <w:name w:val="icon2"/>
    <w:basedOn w:val="10"/>
    <w:qFormat/>
    <w:uiPriority w:val="0"/>
  </w:style>
  <w:style w:type="character" w:customStyle="1" w:styleId="88">
    <w:name w:val="qtlm"/>
    <w:basedOn w:val="10"/>
    <w:qFormat/>
    <w:uiPriority w:val="0"/>
    <w:rPr>
      <w:bdr w:val="single" w:color="D8D8D8" w:sz="6" w:space="0"/>
    </w:rPr>
  </w:style>
  <w:style w:type="character" w:customStyle="1" w:styleId="89">
    <w:name w:val="icon1"/>
    <w:basedOn w:val="10"/>
    <w:qFormat/>
    <w:uiPriority w:val="0"/>
  </w:style>
  <w:style w:type="character" w:customStyle="1" w:styleId="90">
    <w:name w:val="icon11"/>
    <w:basedOn w:val="10"/>
    <w:qFormat/>
    <w:uiPriority w:val="0"/>
  </w:style>
  <w:style w:type="character" w:customStyle="1" w:styleId="91">
    <w:name w:val="icon12"/>
    <w:basedOn w:val="10"/>
    <w:qFormat/>
    <w:uiPriority w:val="0"/>
  </w:style>
  <w:style w:type="character" w:customStyle="1" w:styleId="92">
    <w:name w:val="icon3"/>
    <w:basedOn w:val="10"/>
    <w:qFormat/>
    <w:uiPriority w:val="0"/>
  </w:style>
  <w:style w:type="character" w:customStyle="1" w:styleId="93">
    <w:name w:val="icon31"/>
    <w:basedOn w:val="10"/>
    <w:qFormat/>
    <w:uiPriority w:val="0"/>
  </w:style>
  <w:style w:type="character" w:customStyle="1" w:styleId="94">
    <w:name w:val="icon32"/>
    <w:basedOn w:val="10"/>
    <w:qFormat/>
    <w:uiPriority w:val="0"/>
  </w:style>
  <w:style w:type="character" w:customStyle="1" w:styleId="95">
    <w:name w:val="icon4"/>
    <w:basedOn w:val="10"/>
    <w:qFormat/>
    <w:uiPriority w:val="0"/>
  </w:style>
  <w:style w:type="character" w:customStyle="1" w:styleId="96">
    <w:name w:val="icon41"/>
    <w:basedOn w:val="10"/>
    <w:qFormat/>
    <w:uiPriority w:val="0"/>
  </w:style>
  <w:style w:type="character" w:customStyle="1" w:styleId="97">
    <w:name w:val="icon42"/>
    <w:basedOn w:val="10"/>
    <w:qFormat/>
    <w:uiPriority w:val="0"/>
  </w:style>
  <w:style w:type="character" w:customStyle="1" w:styleId="98">
    <w:name w:val="icon5"/>
    <w:basedOn w:val="10"/>
    <w:qFormat/>
    <w:uiPriority w:val="0"/>
  </w:style>
  <w:style w:type="character" w:customStyle="1" w:styleId="99">
    <w:name w:val="icon51"/>
    <w:basedOn w:val="10"/>
    <w:qFormat/>
    <w:uiPriority w:val="0"/>
  </w:style>
  <w:style w:type="character" w:customStyle="1" w:styleId="100">
    <w:name w:val="icon52"/>
    <w:basedOn w:val="10"/>
    <w:qFormat/>
    <w:uiPriority w:val="0"/>
  </w:style>
  <w:style w:type="character" w:customStyle="1" w:styleId="101">
    <w:name w:val="t_bg3"/>
    <w:basedOn w:val="10"/>
    <w:qFormat/>
    <w:uiPriority w:val="0"/>
    <w:rPr>
      <w:color w:val="FFFFFF"/>
      <w:bdr w:val="single" w:color="01AEFF" w:sz="6" w:space="0"/>
      <w:shd w:val="clear" w:color="auto" w:fill="01AEFF"/>
    </w:rPr>
  </w:style>
  <w:style w:type="character" w:customStyle="1" w:styleId="102">
    <w:name w:val="disab"/>
    <w:basedOn w:val="10"/>
    <w:qFormat/>
    <w:uiPriority w:val="0"/>
    <w:rPr>
      <w:bdr w:val="single" w:color="E4E4E4" w:sz="6" w:space="0"/>
      <w:shd w:val="clear" w:color="auto" w:fill="EEEEEE"/>
    </w:rPr>
  </w:style>
  <w:style w:type="character" w:customStyle="1" w:styleId="103">
    <w:name w:val="gz_btn2"/>
    <w:basedOn w:val="10"/>
    <w:qFormat/>
    <w:uiPriority w:val="0"/>
    <w:rPr>
      <w:color w:val="FFFFFF"/>
      <w:sz w:val="24"/>
      <w:szCs w:val="24"/>
      <w:shd w:val="clear" w:color="auto" w:fill="CCCCCC"/>
    </w:rPr>
  </w:style>
  <w:style w:type="character" w:customStyle="1" w:styleId="104">
    <w:name w:val="t_bg1"/>
    <w:basedOn w:val="10"/>
    <w:qFormat/>
    <w:uiPriority w:val="0"/>
    <w:rPr>
      <w:color w:val="FFFFFF"/>
      <w:bdr w:val="single" w:color="35B36A" w:sz="6" w:space="0"/>
      <w:shd w:val="clear" w:color="auto" w:fill="35B36A"/>
    </w:rPr>
  </w:style>
  <w:style w:type="character" w:customStyle="1" w:styleId="105">
    <w:name w:val="w36"/>
    <w:basedOn w:val="10"/>
    <w:qFormat/>
    <w:uiPriority w:val="0"/>
  </w:style>
  <w:style w:type="character" w:customStyle="1" w:styleId="106">
    <w:name w:val="w16"/>
    <w:basedOn w:val="10"/>
    <w:qFormat/>
    <w:uiPriority w:val="0"/>
  </w:style>
  <w:style w:type="character" w:customStyle="1" w:styleId="107">
    <w:name w:val="w24"/>
    <w:basedOn w:val="10"/>
    <w:qFormat/>
    <w:uiPriority w:val="0"/>
  </w:style>
  <w:style w:type="character" w:customStyle="1" w:styleId="108">
    <w:name w:val="current"/>
    <w:basedOn w:val="10"/>
    <w:qFormat/>
    <w:uiPriority w:val="0"/>
    <w:rPr>
      <w:color w:val="FFFFFF"/>
      <w:u w:val="none"/>
      <w:bdr w:val="single" w:color="ED1E00" w:sz="6" w:space="0"/>
      <w:shd w:val="clear" w:color="auto" w:fill="ED1E00"/>
    </w:rPr>
  </w:style>
  <w:style w:type="character" w:customStyle="1" w:styleId="109">
    <w:name w:val="disabled"/>
    <w:basedOn w:val="10"/>
    <w:qFormat/>
    <w:uiPriority w:val="0"/>
    <w:rPr>
      <w:bdr w:val="single" w:color="E4E4E4" w:sz="6" w:space="0"/>
      <w:shd w:val="clear" w:color="auto" w:fill="EEEEEE"/>
    </w:rPr>
  </w:style>
  <w:style w:type="character" w:customStyle="1" w:styleId="110">
    <w:name w:val="go"/>
    <w:basedOn w:val="10"/>
    <w:qFormat/>
    <w:uiPriority w:val="0"/>
    <w:rPr>
      <w:shd w:val="clear" w:color="auto" w:fill="E2E2E2"/>
    </w:rPr>
  </w:style>
  <w:style w:type="character" w:customStyle="1" w:styleId="111">
    <w:name w:val="more4"/>
    <w:basedOn w:val="10"/>
    <w:qFormat/>
    <w:uiPriority w:val="0"/>
  </w:style>
  <w:style w:type="character" w:customStyle="1" w:styleId="112">
    <w:name w:val="tit2"/>
    <w:basedOn w:val="10"/>
    <w:qFormat/>
    <w:uiPriority w:val="0"/>
    <w:rPr>
      <w:sz w:val="30"/>
      <w:szCs w:val="30"/>
    </w:rPr>
  </w:style>
  <w:style w:type="character" w:customStyle="1" w:styleId="113">
    <w:name w:val="icon-hdjl"/>
    <w:basedOn w:val="10"/>
    <w:qFormat/>
    <w:uiPriority w:val="0"/>
  </w:style>
  <w:style w:type="character" w:customStyle="1" w:styleId="114">
    <w:name w:val="icon-hdjl1"/>
    <w:basedOn w:val="10"/>
    <w:qFormat/>
    <w:uiPriority w:val="0"/>
  </w:style>
  <w:style w:type="character" w:customStyle="1" w:styleId="115">
    <w:name w:val="icon-xxgk"/>
    <w:basedOn w:val="10"/>
    <w:qFormat/>
    <w:uiPriority w:val="0"/>
  </w:style>
  <w:style w:type="character" w:customStyle="1" w:styleId="116">
    <w:name w:val="icon-xxgk1"/>
    <w:basedOn w:val="10"/>
    <w:qFormat/>
    <w:uiPriority w:val="0"/>
  </w:style>
  <w:style w:type="character" w:customStyle="1" w:styleId="117">
    <w:name w:val="icon-bsfw"/>
    <w:basedOn w:val="10"/>
    <w:qFormat/>
    <w:uiPriority w:val="0"/>
  </w:style>
  <w:style w:type="character" w:customStyle="1" w:styleId="118">
    <w:name w:val="icon-bsfw1"/>
    <w:basedOn w:val="10"/>
    <w:qFormat/>
    <w:uiPriority w:val="0"/>
  </w:style>
  <w:style w:type="character" w:customStyle="1" w:styleId="119">
    <w:name w:val="zxft-tit"/>
    <w:basedOn w:val="10"/>
    <w:qFormat/>
    <w:uiPriority w:val="0"/>
    <w:rPr>
      <w:b/>
      <w:color w:val="CB0306"/>
      <w:sz w:val="24"/>
      <w:szCs w:val="24"/>
    </w:rPr>
  </w:style>
  <w:style w:type="character" w:customStyle="1" w:styleId="120">
    <w:name w:val="hd-icon1"/>
    <w:basedOn w:val="10"/>
    <w:qFormat/>
    <w:uiPriority w:val="0"/>
  </w:style>
  <w:style w:type="character" w:customStyle="1" w:styleId="121">
    <w:name w:val="hd-icon2"/>
    <w:basedOn w:val="10"/>
    <w:qFormat/>
    <w:uiPriority w:val="0"/>
  </w:style>
  <w:style w:type="character" w:customStyle="1" w:styleId="122">
    <w:name w:val="hd-icon3"/>
    <w:basedOn w:val="10"/>
    <w:qFormat/>
    <w:uiPriority w:val="0"/>
  </w:style>
  <w:style w:type="character" w:customStyle="1" w:styleId="123">
    <w:name w:val="hd-icon4"/>
    <w:basedOn w:val="10"/>
    <w:qFormat/>
    <w:uiPriority w:val="0"/>
  </w:style>
  <w:style w:type="character" w:customStyle="1" w:styleId="124">
    <w:name w:val="tit"/>
    <w:basedOn w:val="10"/>
    <w:qFormat/>
    <w:uiPriority w:val="0"/>
    <w:rPr>
      <w:color w:val="BD090C"/>
      <w:sz w:val="30"/>
      <w:szCs w:val="30"/>
    </w:rPr>
  </w:style>
  <w:style w:type="character" w:customStyle="1" w:styleId="125">
    <w:name w:val="tit1"/>
    <w:basedOn w:val="10"/>
    <w:qFormat/>
    <w:uiPriority w:val="0"/>
    <w:rPr>
      <w:sz w:val="24"/>
      <w:szCs w:val="24"/>
    </w:rPr>
  </w:style>
  <w:style w:type="character" w:customStyle="1" w:styleId="126">
    <w:name w:val="dqwz"/>
    <w:basedOn w:val="10"/>
    <w:qFormat/>
    <w:uiPriority w:val="0"/>
  </w:style>
  <w:style w:type="character" w:customStyle="1" w:styleId="127">
    <w:name w:val="text2"/>
    <w:basedOn w:val="10"/>
    <w:qFormat/>
    <w:uiPriority w:val="0"/>
    <w:rPr>
      <w:color w:val="FFFFFF"/>
      <w:sz w:val="24"/>
      <w:szCs w:val="24"/>
      <w:shd w:val="clear" w:color="auto" w:fill="CC0407"/>
    </w:rPr>
  </w:style>
  <w:style w:type="character" w:customStyle="1" w:styleId="128">
    <w:name w:val="tex"/>
    <w:basedOn w:val="10"/>
    <w:qFormat/>
    <w:uiPriority w:val="0"/>
    <w:rPr>
      <w:color w:val="CC0407"/>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11904</Words>
  <Characters>12281</Characters>
  <Lines>87</Lines>
  <Paragraphs>24</Paragraphs>
  <TotalTime>6</TotalTime>
  <ScaleCrop>false</ScaleCrop>
  <LinksUpToDate>false</LinksUpToDate>
  <CharactersWithSpaces>12291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2021-01-09T07:50:00Z</dcterms:created>
  <dc:creator>宝赋</dc:creator>
  <cp:lastModifiedBy>best life</cp:lastModifiedBy>
  <cp:lastPrinted>2020-12-13T00:25:00Z</cp:lastPrinted>
  <dcterms:modified xsi:type="dcterms:W3CDTF">2024-06-27T00:41:45Z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F01B969D265A4C82958C55C93D62F747_12</vt:lpwstr>
  </property>
</Properties>
</file>