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401D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《宝山区重污染天气应急预案》的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政策解读</w:t>
      </w:r>
      <w:bookmarkEnd w:id="0"/>
    </w:p>
    <w:p w14:paraId="5869BBF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6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 w14:paraId="08D034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6" w:lineRule="exact"/>
        <w:ind w:firstLine="640"/>
        <w:textAlignment w:val="auto"/>
        <w:rPr>
          <w:rFonts w:hint="eastAsia" w:ascii="黑体" w:hAnsi="黑体" w:eastAsia="黑体" w:cs="黑体"/>
          <w:color w:val="000000"/>
          <w:kern w:val="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color w:val="000000"/>
          <w:kern w:val="1"/>
          <w:sz w:val="32"/>
          <w:szCs w:val="32"/>
        </w:rPr>
        <w:t>编制</w:t>
      </w:r>
      <w:r>
        <w:rPr>
          <w:rFonts w:hint="eastAsia" w:ascii="黑体" w:hAnsi="黑体" w:eastAsia="黑体" w:cs="黑体"/>
          <w:color w:val="000000"/>
          <w:kern w:val="1"/>
          <w:sz w:val="32"/>
          <w:szCs w:val="32"/>
          <w:lang w:val="en-US" w:eastAsia="zh-CN"/>
        </w:rPr>
        <w:t>背景</w:t>
      </w:r>
    </w:p>
    <w:p w14:paraId="38046D9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仿宋_GB2312" w:hAnsi="仿宋_GB2312" w:eastAsia="仿宋_GB2312" w:cs="仿宋_GB2312"/>
          <w:color w:val="000000"/>
          <w:kern w:val="1"/>
          <w:sz w:val="32"/>
          <w:szCs w:val="32"/>
          <w:lang w:val="en-US" w:eastAsia="zh-CN" w:bidi="ar-SA"/>
        </w:rPr>
        <w:t>为切实发挥重污染天气应急预案作用，及时发布相应级别预警，采取有效措施，减少重污染天气发生频率和污染程度，强化重污染天气应对，更好保障人民群众身体健康和经济社会高质量发展，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现就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《宝山区重污染天气应急预案》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（以下简称《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预案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》）解读如下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：</w:t>
      </w:r>
    </w:p>
    <w:p w14:paraId="74EB27F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、制定依据</w:t>
      </w:r>
    </w:p>
    <w:p w14:paraId="33884BB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6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依据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《中华人民共和国大气污染防治法》《黑龙江省大气污染防治条例》《环境空气质量标准》（GB3095-2012）《环境空气质量指数（AQI）技术规定（试行）》（HJ633-2012）《城市大气重污染应急预案编制指南》《重污染天气预警分级标准和应急减排措施修订工作方案》《关于推进重污染天气应急预案修订工作的指导意见》《关于加强重污染天气应对夯实应急减排措施的指导意见》《黑龙江省突发事件应急预案管理办法》《黑龙江省打赢蓝天保卫战三年行动计划》《黑龙江省突发环境事件应急预案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《关于进一步优化重污染天气应对机制的指导意见》（环大气〔2024〕6）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实际，制定本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</w:t>
      </w:r>
    </w:p>
    <w:p w14:paraId="597BE57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6" w:lineRule="exact"/>
        <w:ind w:left="640" w:leftChars="0" w:firstLine="0" w:firstLineChars="0"/>
        <w:textAlignment w:val="auto"/>
        <w:rPr>
          <w:rFonts w:hint="eastAsia" w:ascii="黑体" w:hAnsi="黑体" w:eastAsia="黑体" w:cs="黑体"/>
          <w:color w:val="000000"/>
          <w:kern w:val="1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1"/>
          <w:sz w:val="32"/>
          <w:szCs w:val="32"/>
        </w:rPr>
        <w:t>主要内容</w:t>
      </w:r>
    </w:p>
    <w:p w14:paraId="635411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6" w:lineRule="exact"/>
        <w:ind w:firstLine="320" w:firstLineChars="100"/>
        <w:textAlignment w:val="auto"/>
        <w:rPr>
          <w:rFonts w:hint="default" w:ascii="仿宋_GB2312" w:hAnsi="仿宋_GB2312" w:eastAsia="仿宋_GB2312" w:cs="仿宋_GB2312"/>
          <w:color w:val="000000"/>
          <w:kern w:val="1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val="en-US" w:eastAsia="zh-CN" w:bidi="ar-SA"/>
        </w:rPr>
        <w:t>《预案》主要包括六部分内容，较2021年印发实施的《宝山区重污染天气应急预案》重点修订了预警分级标准、调整了预案制定的依据等有关内容。</w:t>
      </w:r>
    </w:p>
    <w:p w14:paraId="386981C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val="en-US" w:eastAsia="zh-CN" w:bidi="ar-SA"/>
        </w:rPr>
        <w:t>第一部分总则。明确了《预案》编制目的、编制依据、适用范围、工作原则等内容。</w:t>
      </w:r>
    </w:p>
    <w:p w14:paraId="478A672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val="en-US" w:eastAsia="zh-CN" w:bidi="ar-SA"/>
        </w:rPr>
        <w:t>第二部分组织机构及其职责。明确了区应急指挥部、区应急指挥部办公室、成员单位及相关企业的应急职责。</w:t>
      </w:r>
    </w:p>
    <w:p w14:paraId="03BDCBD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val="en-US" w:eastAsia="zh-CN" w:bidi="ar-SA"/>
        </w:rPr>
        <w:t>第三部分预警。明确了预警分级、预警发布与解除、预警措施、区域应急联动等内容。宝山区重污染天气应急响应实行三级预警，预警级别由低到高分为黄色、橙色、红色预警。黄色预警标准调整为预测日AQI&gt;200或日AQI&gt;150持续48小时及以上，且未达到高级别预警条件时；橙色预警标准调整为预测日AQI&gt;200持续48小时或日AQI&gt;150持续72小时以上，且未达到高级别预警条件时；红色预警标准调整为预测日AQI&gt;200持续72小时且日AQI&gt;300持续24小时以上。</w:t>
      </w:r>
    </w:p>
    <w:p w14:paraId="01B5E7F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val="en-US" w:eastAsia="zh-CN" w:bidi="ar-SA"/>
        </w:rPr>
        <w:t>第四部分应急响应。明确了应急响应启动、应急响应措施、响应措施的监督、响应终止等过程和程序</w:t>
      </w:r>
      <w:r>
        <w:rPr>
          <w:rFonts w:hint="eastAsia" w:ascii="仿宋_GB2312" w:hAnsi="仿宋_GB2312" w:eastAsia="仿宋_GB2312" w:cs="仿宋_GB2312"/>
          <w:color w:val="0000FF"/>
          <w:kern w:val="1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val="en-US" w:eastAsia="zh-CN" w:bidi="ar-SA"/>
        </w:rPr>
        <w:t>明确了响应措施的总体要求和Ⅲ级响应措施、II级响应措施、I级响应措施具体内容。</w:t>
      </w:r>
    </w:p>
    <w:p w14:paraId="675445C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val="en-US" w:eastAsia="zh-CN" w:bidi="ar-SA"/>
        </w:rPr>
        <w:t>第五部分监督管理。从公众宣传、应急演练、应急培训、责任追究等方面提出了要求。</w:t>
      </w:r>
    </w:p>
    <w:p w14:paraId="5A0971D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 w:firstLine="640" w:firstLineChars="200"/>
        <w:jc w:val="both"/>
      </w:pP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val="en-US" w:eastAsia="zh-CN" w:bidi="ar-SA"/>
        </w:rPr>
        <w:t>第六部分是附则。明确了《预案》的修订、解释和实施的时限要求。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4EDE3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28146083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28146083"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5E04C1"/>
    <w:multiLevelType w:val="singleLevel"/>
    <w:tmpl w:val="5B5E04C1"/>
    <w:lvl w:ilvl="0" w:tentative="0">
      <w:start w:val="3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lZjlkMzYyODE5NTgyMDQxODUxZGM0YWNjNzI5ZGYifQ=="/>
  </w:docVars>
  <w:rsids>
    <w:rsidRoot w:val="00000000"/>
    <w:rsid w:val="0D8E48B6"/>
    <w:rsid w:val="4EF0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901</Words>
  <Characters>970</Characters>
  <Lines>0</Lines>
  <Paragraphs>0</Paragraphs>
  <TotalTime>1</TotalTime>
  <ScaleCrop>false</ScaleCrop>
  <LinksUpToDate>false</LinksUpToDate>
  <CharactersWithSpaces>972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2024-04-07T06:46:00Z</dcterms:created>
  <dc:creator>Administrator</dc:creator>
  <cp:lastModifiedBy>best life</cp:lastModifiedBy>
  <dcterms:modified xsi:type="dcterms:W3CDTF">2025-08-13T07:51:22Z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8479C1FD5BC94A0A8136751358B2D7DE_12</vt:lpwstr>
  </property>
  <property fmtid="{D5CDD505-2E9C-101B-9397-08002B2CF9AE}" pid="4" name="KSOTemplateDocerSaveRecord">
    <vt:lpwstr>eyJoZGlkIjoiODllOGM2YzI0Y2U1Y2NjNGY5Mzg2NmM5YzE2NjMwMGQiLCJ1c2VySWQiOiIxMjk0NTkwNjU1In0=</vt:lpwstr>
  </property>
</Properties>
</file>