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0" w:firstLineChars="100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ind w:firstLine="440" w:firstLineChars="10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年税收返还和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转移支付情况说明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一、市对区税收返还和转移支付预计安排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8783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返还性收入130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</w:p>
    <w:p>
      <w:pPr>
        <w:pStyle w:val="8"/>
        <w:widowControl/>
        <w:numPr>
          <w:ilvl w:val="1"/>
          <w:numId w:val="1"/>
        </w:numPr>
        <w:ind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增值税和消费税税收返还收入1250万元。</w:t>
      </w:r>
    </w:p>
    <w:p>
      <w:pPr>
        <w:widowControl/>
        <w:numPr>
          <w:ilvl w:val="1"/>
          <w:numId w:val="1"/>
        </w:numPr>
        <w:ind w:left="1780" w:leftChars="0" w:hanging="72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其他税收返还收入5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（二）一般性转移支付收入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7483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1、均衡性转移支付收入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1978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2、县级基本财力保障机制奖补资金收入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4420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ind w:left="64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3、革命老区转移支付资金13万元 。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4、固定数额补助收入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1072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二、市对区本级税收返还和转移支付预计安排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8295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</w:p>
    <w:p>
      <w:pPr>
        <w:pStyle w:val="8"/>
        <w:widowControl/>
        <w:numPr>
          <w:ilvl w:val="0"/>
          <w:numId w:val="2"/>
        </w:numPr>
        <w:ind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返还性收入12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</w:p>
    <w:p>
      <w:pPr>
        <w:widowControl/>
        <w:ind w:firstLine="960" w:firstLineChars="3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1、增值税和消费税税收返还收入1220万元。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2、其他税收返还收入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（二）一般性转移支付收入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7027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1、均衡性转移支付收入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1772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2、县级基本财力保障机制奖补资金收入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4310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3、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革命老区转移支付资金13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ind w:left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4、固定数额补助收入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932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973"/>
    <w:multiLevelType w:val="multilevel"/>
    <w:tmpl w:val="1CD2597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A71F65"/>
    <w:multiLevelType w:val="multilevel"/>
    <w:tmpl w:val="59A71F65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B53"/>
    <w:rsid w:val="00067B10"/>
    <w:rsid w:val="002300E7"/>
    <w:rsid w:val="00235AC5"/>
    <w:rsid w:val="002F7B53"/>
    <w:rsid w:val="00506C1B"/>
    <w:rsid w:val="006A6BC5"/>
    <w:rsid w:val="007D15BE"/>
    <w:rsid w:val="008363A6"/>
    <w:rsid w:val="0089209D"/>
    <w:rsid w:val="00D61386"/>
    <w:rsid w:val="00E85A6C"/>
    <w:rsid w:val="2D19767D"/>
    <w:rsid w:val="41C000F3"/>
    <w:rsid w:val="63C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303</Words>
  <Characters>92</Characters>
  <Lines>1</Lines>
  <Paragraphs>1</Paragraphs>
  <TotalTime>2</TotalTime>
  <ScaleCrop>false</ScaleCrop>
  <LinksUpToDate>false</LinksUpToDate>
  <CharactersWithSpaces>394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2017-05-04T02:07:00Z</dcterms:created>
  <dc:creator>null,null,总收发</dc:creator>
  <cp:lastModifiedBy>lenovo</cp:lastModifiedBy>
  <dcterms:modified xsi:type="dcterms:W3CDTF">2020-02-11T06:02:03Z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